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ABD80D3">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方正小标宋简体" w:hAnsi="方正小标宋简体" w:eastAsia="方正小标宋简体" w:cs="方正小标宋简体"/>
          <w:color w:val="FF0000"/>
          <w:kern w:val="0"/>
          <w:sz w:val="121"/>
          <w:szCs w:val="121"/>
          <w:lang w:val="en-US" w:eastAsia="zh-CN" w:bidi="ar"/>
        </w:rPr>
      </w:pPr>
    </w:p>
    <w:p w14:paraId="6C90C4D5">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方正小标宋简体" w:hAnsi="方正小标宋简体" w:eastAsia="方正小标宋简体" w:cs="方正小标宋简体"/>
          <w:color w:val="FF0000"/>
          <w:kern w:val="0"/>
          <w:sz w:val="121"/>
          <w:szCs w:val="121"/>
          <w:lang w:val="en-US" w:eastAsia="zh-CN" w:bidi="ar"/>
        </w:rPr>
      </w:pPr>
    </w:p>
    <w:p w14:paraId="281AE103">
      <w:pPr>
        <w:keepNext w:val="0"/>
        <w:keepLines w:val="0"/>
        <w:pageBreakBefore w:val="0"/>
        <w:widowControl w:val="0"/>
        <w:suppressLineNumbers w:val="0"/>
        <w:kinsoku/>
        <w:wordWrap/>
        <w:overflowPunct/>
        <w:topLinePunct w:val="0"/>
        <w:autoSpaceDE/>
        <w:autoSpaceDN/>
        <w:bidi w:val="0"/>
        <w:adjustRightInd/>
        <w:snapToGrid/>
        <w:spacing w:line="600" w:lineRule="exact"/>
        <w:jc w:val="center"/>
        <w:textAlignment w:val="auto"/>
        <w:rPr>
          <w:rFonts w:hint="eastAsia" w:ascii="Times New Roman" w:hAnsi="Times New Roman" w:eastAsia="方正小标宋简体" w:cs="Times New Roman"/>
          <w:sz w:val="44"/>
          <w:szCs w:val="44"/>
          <w:highlight w:val="none"/>
          <w:lang w:val="en-US" w:eastAsia="zh-CN"/>
        </w:rPr>
      </w:pPr>
      <w:r>
        <w:rPr>
          <w:rFonts w:hint="eastAsia" w:ascii="方正小标宋简体" w:hAnsi="方正小标宋简体" w:eastAsia="方正小标宋简体" w:cs="方正小标宋简体"/>
          <w:sz w:val="44"/>
          <w:szCs w:val="44"/>
          <w:highlight w:val="none"/>
          <w:lang w:val="en-US" w:eastAsia="zh-CN"/>
        </w:rPr>
        <w:t>鸠江区人民政府办公室</w:t>
      </w:r>
      <w:r>
        <w:rPr>
          <w:rFonts w:hint="eastAsia" w:ascii="Times New Roman" w:hAnsi="Times New Roman" w:eastAsia="方正小标宋简体" w:cs="Times New Roman"/>
          <w:sz w:val="44"/>
          <w:szCs w:val="44"/>
          <w:highlight w:val="none"/>
          <w:lang w:val="en-US" w:eastAsia="zh-CN"/>
        </w:rPr>
        <w:t>关于印发《</w:t>
      </w:r>
      <w:r>
        <w:rPr>
          <w:rFonts w:ascii="方正小标宋简体" w:hAnsi="方正小标宋简体" w:eastAsia="方正小标宋简体" w:cs="方正小标宋简体"/>
          <w:color w:val="000000"/>
          <w:kern w:val="0"/>
          <w:sz w:val="44"/>
          <w:szCs w:val="44"/>
          <w:highlight w:val="none"/>
          <w:lang w:val="en-US" w:eastAsia="zh-CN" w:bidi="ar"/>
        </w:rPr>
        <w:t>鸠江区</w:t>
      </w:r>
      <w:r>
        <w:rPr>
          <w:rFonts w:hint="eastAsia" w:ascii="方正小标宋简体" w:hAnsi="方正小标宋简体" w:eastAsia="方正小标宋简体" w:cs="方正小标宋简体"/>
          <w:sz w:val="44"/>
          <w:szCs w:val="44"/>
          <w:highlight w:val="none"/>
        </w:rPr>
        <w:t>预付式消费纠纷预防与处置工作方案</w:t>
      </w:r>
      <w:r>
        <w:rPr>
          <w:rFonts w:hint="eastAsia" w:ascii="Times New Roman" w:hAnsi="Times New Roman" w:eastAsia="方正小标宋简体" w:cs="Times New Roman"/>
          <w:sz w:val="44"/>
          <w:szCs w:val="44"/>
          <w:highlight w:val="none"/>
          <w:lang w:val="en-US" w:eastAsia="zh-CN"/>
        </w:rPr>
        <w:t>》的通知</w:t>
      </w:r>
    </w:p>
    <w:p w14:paraId="6AC99E22">
      <w:pPr>
        <w:keepNext w:val="0"/>
        <w:keepLines w:val="0"/>
        <w:pageBreakBefore w:val="0"/>
        <w:widowControl w:val="0"/>
        <w:suppressLineNumbers w:val="0"/>
        <w:kinsoku/>
        <w:wordWrap/>
        <w:overflowPunct/>
        <w:topLinePunct w:val="0"/>
        <w:autoSpaceDE/>
        <w:autoSpaceDN/>
        <w:bidi w:val="0"/>
        <w:adjustRightInd/>
        <w:snapToGrid/>
        <w:spacing w:line="600" w:lineRule="exact"/>
        <w:ind w:firstLine="640" w:firstLineChars="200"/>
        <w:jc w:val="center"/>
        <w:textAlignment w:val="auto"/>
        <w:rPr>
          <w:rFonts w:hint="eastAsia" w:ascii="仿宋_GB2312" w:eastAsia="仿宋_GB2312"/>
          <w:sz w:val="32"/>
          <w:szCs w:val="32"/>
        </w:rPr>
      </w:pPr>
      <w:r>
        <w:rPr>
          <w:rFonts w:hint="eastAsia" w:ascii="仿宋_GB2312" w:eastAsia="仿宋_GB2312"/>
          <w:sz w:val="32"/>
          <w:szCs w:val="32"/>
        </w:rPr>
        <w:t>鸠政办〔20</w:t>
      </w:r>
      <w:r>
        <w:rPr>
          <w:rFonts w:hint="eastAsia" w:ascii="仿宋_GB2312" w:eastAsia="仿宋_GB2312"/>
          <w:sz w:val="32"/>
          <w:szCs w:val="32"/>
          <w:lang w:val="en-US" w:eastAsia="zh-CN"/>
        </w:rPr>
        <w:t>25</w:t>
      </w:r>
      <w:r>
        <w:rPr>
          <w:rFonts w:hint="eastAsia" w:ascii="仿宋_GB2312" w:eastAsia="仿宋_GB2312"/>
          <w:sz w:val="32"/>
          <w:szCs w:val="32"/>
        </w:rPr>
        <w:t>〕</w:t>
      </w:r>
      <w:r>
        <w:rPr>
          <w:rFonts w:hint="eastAsia" w:ascii="仿宋_GB2312" w:eastAsia="仿宋_GB2312"/>
          <w:sz w:val="32"/>
          <w:szCs w:val="32"/>
          <w:lang w:val="en-US" w:eastAsia="zh-CN"/>
        </w:rPr>
        <w:t>23</w:t>
      </w:r>
      <w:r>
        <w:rPr>
          <w:rFonts w:hint="eastAsia" w:ascii="仿宋_GB2312" w:eastAsia="仿宋_GB2312"/>
          <w:sz w:val="32"/>
          <w:szCs w:val="32"/>
        </w:rPr>
        <w:t>号</w:t>
      </w:r>
    </w:p>
    <w:p w14:paraId="1FEC5E9E">
      <w:pPr>
        <w:keepNext w:val="0"/>
        <w:keepLines w:val="0"/>
        <w:pageBreakBefore w:val="0"/>
        <w:widowControl w:val="0"/>
        <w:suppressLineNumbers w:val="0"/>
        <w:kinsoku/>
        <w:wordWrap/>
        <w:overflowPunct/>
        <w:topLinePunct w:val="0"/>
        <w:autoSpaceDE/>
        <w:autoSpaceDN/>
        <w:bidi w:val="0"/>
        <w:adjustRightInd/>
        <w:snapToGrid/>
        <w:spacing w:line="600" w:lineRule="exact"/>
        <w:ind w:firstLine="640" w:firstLineChars="200"/>
        <w:jc w:val="center"/>
        <w:textAlignment w:val="auto"/>
        <w:rPr>
          <w:rFonts w:hint="eastAsia" w:ascii="仿宋_GB2312" w:eastAsia="仿宋_GB2312"/>
          <w:sz w:val="32"/>
          <w:szCs w:val="32"/>
          <w:lang w:val="en-US" w:eastAsia="zh-CN"/>
        </w:rPr>
      </w:pPr>
    </w:p>
    <w:p w14:paraId="0CD36BE3">
      <w:pPr>
        <w:keepNext w:val="0"/>
        <w:keepLines w:val="0"/>
        <w:pageBreakBefore w:val="0"/>
        <w:widowControl w:val="0"/>
        <w:suppressLineNumbers w:val="0"/>
        <w:kinsoku/>
        <w:wordWrap/>
        <w:overflowPunct/>
        <w:topLinePunct w:val="0"/>
        <w:autoSpaceDE/>
        <w:autoSpaceDN/>
        <w:bidi w:val="0"/>
        <w:adjustRightInd/>
        <w:snapToGrid/>
        <w:spacing w:line="600" w:lineRule="exact"/>
        <w:jc w:val="left"/>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各镇人民政府、各街道办事处、鸠江经济开发区管委会，区直各部门、驻区各单位：</w:t>
      </w:r>
    </w:p>
    <w:p w14:paraId="4EC91C4C">
      <w:pPr>
        <w:keepNext w:val="0"/>
        <w:keepLines w:val="0"/>
        <w:pageBreakBefore w:val="0"/>
        <w:widowControl w:val="0"/>
        <w:suppressLineNumbers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kern w:val="0"/>
          <w:sz w:val="32"/>
          <w:szCs w:val="32"/>
          <w:highlight w:val="none"/>
          <w:lang w:val="en-US" w:eastAsia="zh-CN" w:bidi="ar"/>
        </w:rPr>
      </w:pPr>
      <w:r>
        <w:rPr>
          <w:rFonts w:hint="eastAsia" w:ascii="仿宋_GB2312" w:hAnsi="仿宋_GB2312" w:eastAsia="仿宋_GB2312" w:cs="仿宋_GB2312"/>
          <w:sz w:val="32"/>
          <w:szCs w:val="32"/>
          <w:highlight w:val="none"/>
          <w:lang w:val="en-US" w:eastAsia="zh-CN"/>
        </w:rPr>
        <w:t>《</w:t>
      </w:r>
      <w:r>
        <w:rPr>
          <w:rFonts w:hint="eastAsia" w:ascii="仿宋_GB2312" w:hAnsi="仿宋_GB2312" w:eastAsia="仿宋_GB2312" w:cs="仿宋_GB2312"/>
          <w:color w:val="000000"/>
          <w:kern w:val="0"/>
          <w:sz w:val="32"/>
          <w:szCs w:val="32"/>
          <w:highlight w:val="none"/>
          <w:lang w:val="en-US" w:eastAsia="zh-CN" w:bidi="ar"/>
        </w:rPr>
        <w:t>鸠江区</w:t>
      </w:r>
      <w:r>
        <w:rPr>
          <w:rFonts w:hint="eastAsia" w:ascii="仿宋_GB2312" w:hAnsi="仿宋_GB2312" w:eastAsia="仿宋_GB2312" w:cs="仿宋_GB2312"/>
          <w:sz w:val="32"/>
          <w:szCs w:val="32"/>
          <w:highlight w:val="none"/>
        </w:rPr>
        <w:t>预付式消费纠纷预防与处置工作方案</w:t>
      </w:r>
      <w:r>
        <w:rPr>
          <w:rFonts w:hint="eastAsia" w:ascii="仿宋_GB2312" w:hAnsi="仿宋_GB2312" w:eastAsia="仿宋_GB2312" w:cs="仿宋_GB2312"/>
          <w:sz w:val="32"/>
          <w:szCs w:val="32"/>
          <w:highlight w:val="none"/>
          <w:lang w:val="en-US" w:eastAsia="zh-CN"/>
        </w:rPr>
        <w:t>》</w:t>
      </w:r>
      <w:r>
        <w:rPr>
          <w:rFonts w:hint="eastAsia" w:ascii="仿宋_GB2312" w:hAnsi="仿宋_GB2312" w:eastAsia="仿宋_GB2312" w:cs="仿宋_GB2312"/>
          <w:color w:val="auto"/>
          <w:kern w:val="0"/>
          <w:sz w:val="32"/>
          <w:szCs w:val="32"/>
          <w:highlight w:val="none"/>
          <w:lang w:val="en-US" w:eastAsia="zh-CN" w:bidi="ar"/>
        </w:rPr>
        <w:t>已经区政府同意，现印发给你们，请认真执行。</w:t>
      </w:r>
    </w:p>
    <w:p w14:paraId="7B5BAF47">
      <w:pPr>
        <w:keepNext w:val="0"/>
        <w:keepLines w:val="0"/>
        <w:pageBreakBefore w:val="0"/>
        <w:widowControl w:val="0"/>
        <w:suppressLineNumbers w:val="0"/>
        <w:kinsoku/>
        <w:wordWrap/>
        <w:overflowPunct/>
        <w:topLinePunct w:val="0"/>
        <w:autoSpaceDE/>
        <w:autoSpaceDN/>
        <w:bidi w:val="0"/>
        <w:adjustRightInd/>
        <w:snapToGrid/>
        <w:spacing w:line="600" w:lineRule="exact"/>
        <w:ind w:firstLine="640" w:firstLineChars="200"/>
        <w:jc w:val="right"/>
        <w:textAlignment w:val="auto"/>
        <w:rPr>
          <w:rFonts w:hint="eastAsia" w:ascii="仿宋_GB2312" w:hAnsi="仿宋_GB2312" w:eastAsia="仿宋_GB2312" w:cs="仿宋_GB2312"/>
          <w:color w:val="auto"/>
          <w:kern w:val="0"/>
          <w:sz w:val="32"/>
          <w:szCs w:val="32"/>
          <w:highlight w:val="none"/>
          <w:lang w:val="en-US" w:eastAsia="zh-CN" w:bidi="ar"/>
        </w:rPr>
      </w:pPr>
    </w:p>
    <w:p w14:paraId="1DFBD147">
      <w:pPr>
        <w:keepNext w:val="0"/>
        <w:keepLines w:val="0"/>
        <w:pageBreakBefore w:val="0"/>
        <w:widowControl w:val="0"/>
        <w:suppressLineNumbers w:val="0"/>
        <w:kinsoku/>
        <w:wordWrap/>
        <w:overflowPunct/>
        <w:topLinePunct w:val="0"/>
        <w:autoSpaceDE/>
        <w:autoSpaceDN/>
        <w:bidi w:val="0"/>
        <w:adjustRightInd/>
        <w:snapToGrid/>
        <w:spacing w:line="600" w:lineRule="exact"/>
        <w:ind w:firstLine="640" w:firstLineChars="200"/>
        <w:jc w:val="right"/>
        <w:textAlignment w:val="auto"/>
        <w:rPr>
          <w:rFonts w:hint="eastAsia" w:ascii="仿宋_GB2312" w:hAnsi="仿宋_GB2312" w:eastAsia="仿宋_GB2312" w:cs="仿宋_GB2312"/>
          <w:color w:val="auto"/>
          <w:kern w:val="0"/>
          <w:sz w:val="32"/>
          <w:szCs w:val="32"/>
          <w:highlight w:val="none"/>
          <w:lang w:val="en-US" w:eastAsia="zh-CN" w:bidi="ar"/>
        </w:rPr>
      </w:pPr>
    </w:p>
    <w:p w14:paraId="0AC63B59">
      <w:pPr>
        <w:keepNext w:val="0"/>
        <w:keepLines w:val="0"/>
        <w:pageBreakBefore w:val="0"/>
        <w:widowControl w:val="0"/>
        <w:suppressLineNumbers w:val="0"/>
        <w:kinsoku/>
        <w:wordWrap w:val="0"/>
        <w:overflowPunct/>
        <w:topLinePunct w:val="0"/>
        <w:autoSpaceDE/>
        <w:autoSpaceDN/>
        <w:bidi w:val="0"/>
        <w:adjustRightInd/>
        <w:snapToGrid/>
        <w:spacing w:line="600" w:lineRule="exact"/>
        <w:ind w:firstLine="640" w:firstLineChars="200"/>
        <w:jc w:val="right"/>
        <w:textAlignment w:val="auto"/>
        <w:rPr>
          <w:rFonts w:hint="default" w:ascii="仿宋_GB2312" w:hAnsi="仿宋_GB2312" w:eastAsia="仿宋_GB2312" w:cs="仿宋_GB2312"/>
          <w:color w:val="auto"/>
          <w:kern w:val="0"/>
          <w:sz w:val="32"/>
          <w:szCs w:val="32"/>
          <w:highlight w:val="none"/>
          <w:lang w:val="en-US" w:eastAsia="zh-CN" w:bidi="ar"/>
        </w:rPr>
      </w:pPr>
      <w:r>
        <w:rPr>
          <w:rFonts w:hint="eastAsia" w:ascii="仿宋_GB2312" w:hAnsi="仿宋_GB2312" w:eastAsia="仿宋_GB2312" w:cs="仿宋_GB2312"/>
          <w:color w:val="auto"/>
          <w:kern w:val="0"/>
          <w:sz w:val="32"/>
          <w:szCs w:val="32"/>
          <w:highlight w:val="none"/>
          <w:lang w:val="en-US" w:eastAsia="zh-CN" w:bidi="ar"/>
        </w:rPr>
        <w:t xml:space="preserve">鸠江区人民政府办公室      </w:t>
      </w:r>
    </w:p>
    <w:p w14:paraId="19D8A868">
      <w:pPr>
        <w:keepNext w:val="0"/>
        <w:keepLines w:val="0"/>
        <w:pageBreakBefore w:val="0"/>
        <w:widowControl w:val="0"/>
        <w:suppressLineNumbers w:val="0"/>
        <w:kinsoku/>
        <w:wordWrap w:val="0"/>
        <w:overflowPunct/>
        <w:topLinePunct w:val="0"/>
        <w:autoSpaceDE/>
        <w:autoSpaceDN/>
        <w:bidi w:val="0"/>
        <w:adjustRightInd/>
        <w:snapToGrid/>
        <w:spacing w:line="600" w:lineRule="exact"/>
        <w:ind w:firstLine="5120" w:firstLineChars="1600"/>
        <w:jc w:val="both"/>
        <w:textAlignment w:val="auto"/>
        <w:rPr>
          <w:rFonts w:hint="eastAsia" w:ascii="方正楷体_GB2312" w:hAnsi="方正楷体_GB2312" w:eastAsia="方正楷体_GB2312" w:cs="方正楷体_GB2312"/>
          <w:color w:val="auto"/>
          <w:kern w:val="0"/>
          <w:sz w:val="32"/>
          <w:szCs w:val="32"/>
          <w:highlight w:val="none"/>
          <w:lang w:val="en-US" w:eastAsia="zh-CN" w:bidi="ar"/>
        </w:rPr>
        <w:sectPr>
          <w:footerReference r:id="rId3" w:type="default"/>
          <w:pgSz w:w="11906" w:h="16838"/>
          <w:pgMar w:top="2041" w:right="1531" w:bottom="2041" w:left="1531" w:header="720" w:footer="720" w:gutter="0"/>
          <w:pgNumType w:fmt="numberInDash"/>
          <w:cols w:space="720" w:num="1"/>
          <w:formProt w:val="1"/>
          <w:rtlGutter w:val="0"/>
          <w:docGrid w:type="lines" w:linePitch="312" w:charSpace="0"/>
        </w:sectPr>
      </w:pPr>
      <w:r>
        <w:rPr>
          <w:rFonts w:hint="eastAsia" w:ascii="仿宋_GB2312" w:hAnsi="仿宋_GB2312" w:eastAsia="仿宋_GB2312" w:cs="仿宋_GB2312"/>
          <w:color w:val="auto"/>
          <w:kern w:val="0"/>
          <w:sz w:val="32"/>
          <w:szCs w:val="32"/>
          <w:highlight w:val="none"/>
          <w:lang w:val="en-US" w:eastAsia="zh-CN" w:bidi="ar"/>
        </w:rPr>
        <w:t xml:space="preserve">2025年7月21日 </w:t>
      </w:r>
      <w:bookmarkStart w:id="0" w:name="_GoBack"/>
      <w:bookmarkEnd w:id="0"/>
    </w:p>
    <w:p w14:paraId="5F6FACD4">
      <w:pPr>
        <w:keepNext w:val="0"/>
        <w:keepLines w:val="0"/>
        <w:pageBreakBefore w:val="0"/>
        <w:widowControl w:val="0"/>
        <w:suppressLineNumbers w:val="0"/>
        <w:kinsoku/>
        <w:wordWrap/>
        <w:overflowPunct/>
        <w:topLinePunct w:val="0"/>
        <w:autoSpaceDE/>
        <w:autoSpaceDN/>
        <w:bidi w:val="0"/>
        <w:adjustRightInd/>
        <w:snapToGrid/>
        <w:spacing w:line="600" w:lineRule="exact"/>
        <w:jc w:val="both"/>
        <w:textAlignment w:val="auto"/>
        <w:rPr>
          <w:rFonts w:ascii="方正小标宋简体" w:hAnsi="方正小标宋简体" w:eastAsia="方正小标宋简体" w:cs="方正小标宋简体"/>
          <w:color w:val="auto"/>
          <w:kern w:val="0"/>
          <w:sz w:val="44"/>
          <w:szCs w:val="44"/>
          <w:highlight w:val="none"/>
          <w:lang w:val="en-US" w:eastAsia="zh-CN" w:bidi="ar"/>
        </w:rPr>
      </w:pPr>
    </w:p>
    <w:p w14:paraId="546C8E09">
      <w:pPr>
        <w:keepNext w:val="0"/>
        <w:keepLines w:val="0"/>
        <w:pageBreakBefore w:val="0"/>
        <w:widowControl w:val="0"/>
        <w:suppressLineNumbers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color w:val="auto"/>
          <w:sz w:val="44"/>
          <w:szCs w:val="44"/>
          <w:highlight w:val="none"/>
        </w:rPr>
      </w:pPr>
      <w:r>
        <w:rPr>
          <w:rFonts w:ascii="方正小标宋简体" w:hAnsi="方正小标宋简体" w:eastAsia="方正小标宋简体" w:cs="方正小标宋简体"/>
          <w:color w:val="auto"/>
          <w:kern w:val="0"/>
          <w:sz w:val="44"/>
          <w:szCs w:val="44"/>
          <w:highlight w:val="none"/>
          <w:lang w:val="en-US" w:eastAsia="zh-CN" w:bidi="ar"/>
        </w:rPr>
        <w:t>鸠江区</w:t>
      </w:r>
      <w:r>
        <w:rPr>
          <w:rFonts w:hint="eastAsia" w:ascii="方正小标宋简体" w:hAnsi="方正小标宋简体" w:eastAsia="方正小标宋简体" w:cs="方正小标宋简体"/>
          <w:color w:val="auto"/>
          <w:sz w:val="44"/>
          <w:szCs w:val="44"/>
          <w:highlight w:val="none"/>
        </w:rPr>
        <w:t>预付式消费纠纷预防与处置</w:t>
      </w:r>
    </w:p>
    <w:p w14:paraId="2DFE4DE6">
      <w:pPr>
        <w:keepNext w:val="0"/>
        <w:keepLines w:val="0"/>
        <w:pageBreakBefore w:val="0"/>
        <w:widowControl w:val="0"/>
        <w:suppressLineNumbers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color w:val="auto"/>
          <w:sz w:val="44"/>
          <w:szCs w:val="44"/>
          <w:highlight w:val="none"/>
        </w:rPr>
      </w:pPr>
      <w:r>
        <w:rPr>
          <w:rFonts w:hint="eastAsia" w:ascii="方正小标宋简体" w:hAnsi="方正小标宋简体" w:eastAsia="方正小标宋简体" w:cs="方正小标宋简体"/>
          <w:color w:val="auto"/>
          <w:sz w:val="44"/>
          <w:szCs w:val="44"/>
          <w:highlight w:val="none"/>
          <w:lang w:val="en-US" w:eastAsia="zh-CN"/>
        </w:rPr>
        <w:t>工作</w:t>
      </w:r>
      <w:r>
        <w:rPr>
          <w:rFonts w:hint="eastAsia" w:ascii="方正小标宋简体" w:hAnsi="方正小标宋简体" w:eastAsia="方正小标宋简体" w:cs="方正小标宋简体"/>
          <w:color w:val="auto"/>
          <w:sz w:val="44"/>
          <w:szCs w:val="44"/>
          <w:highlight w:val="none"/>
        </w:rPr>
        <w:t>方案</w:t>
      </w:r>
    </w:p>
    <w:p w14:paraId="07530A37">
      <w:pPr>
        <w:keepNext w:val="0"/>
        <w:keepLines w:val="0"/>
        <w:pageBreakBefore w:val="0"/>
        <w:widowControl w:val="0"/>
        <w:suppressLineNumbers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color w:val="auto"/>
          <w:sz w:val="32"/>
          <w:szCs w:val="32"/>
          <w:highlight w:val="none"/>
          <w:lang w:val="en-US" w:eastAsia="zh-CN"/>
        </w:rPr>
      </w:pPr>
    </w:p>
    <w:p w14:paraId="416AC869">
      <w:pPr>
        <w:keepNext w:val="0"/>
        <w:keepLines w:val="0"/>
        <w:pageBreakBefore w:val="0"/>
        <w:widowControl w:val="0"/>
        <w:suppressLineNumbers w:val="0"/>
        <w:kinsoku/>
        <w:wordWrap/>
        <w:overflowPunct/>
        <w:topLinePunct w:val="0"/>
        <w:autoSpaceDE/>
        <w:autoSpaceDN/>
        <w:bidi w:val="0"/>
        <w:adjustRightInd/>
        <w:snapToGrid/>
        <w:spacing w:line="600" w:lineRule="exact"/>
        <w:ind w:left="0" w:leftChars="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kern w:val="0"/>
          <w:sz w:val="32"/>
          <w:szCs w:val="32"/>
          <w:highlight w:val="none"/>
          <w:lang w:val="en-US" w:eastAsia="zh-CN" w:bidi="ar"/>
        </w:rPr>
        <w:t>按照省、市、区关于12345热线办理相关要求</w:t>
      </w:r>
      <w:r>
        <w:rPr>
          <w:rFonts w:hint="eastAsia" w:ascii="仿宋_GB2312" w:hAnsi="仿宋_GB2312" w:eastAsia="仿宋_GB2312" w:cs="仿宋_GB2312"/>
          <w:color w:val="auto"/>
          <w:kern w:val="0"/>
          <w:sz w:val="32"/>
          <w:szCs w:val="32"/>
          <w:highlight w:val="none"/>
        </w:rPr>
        <w:t>，决定在全区范围开展“</w:t>
      </w:r>
      <w:r>
        <w:rPr>
          <w:rFonts w:hint="eastAsia" w:ascii="仿宋_GB2312" w:hAnsi="仿宋_GB2312" w:eastAsia="仿宋_GB2312" w:cs="仿宋_GB2312"/>
          <w:color w:val="auto"/>
          <w:kern w:val="0"/>
          <w:sz w:val="32"/>
          <w:szCs w:val="32"/>
          <w:highlight w:val="none"/>
          <w:lang w:val="en-US" w:eastAsia="zh-CN"/>
        </w:rPr>
        <w:t>预付式消费纠纷预防与处置</w:t>
      </w:r>
      <w:r>
        <w:rPr>
          <w:rFonts w:hint="eastAsia" w:ascii="仿宋_GB2312" w:hAnsi="仿宋_GB2312" w:eastAsia="仿宋_GB2312" w:cs="仿宋_GB2312"/>
          <w:color w:val="auto"/>
          <w:kern w:val="0"/>
          <w:sz w:val="32"/>
          <w:szCs w:val="32"/>
          <w:highlight w:val="none"/>
        </w:rPr>
        <w:t>”专项治理，特制定本方案。</w:t>
      </w:r>
    </w:p>
    <w:p w14:paraId="6014604D">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left"/>
        <w:textAlignment w:val="auto"/>
        <w:rPr>
          <w:rFonts w:hint="eastAsia" w:ascii="黑体" w:hAnsi="黑体" w:eastAsia="黑体" w:cs="黑体"/>
          <w:color w:val="auto"/>
          <w:sz w:val="32"/>
          <w:szCs w:val="32"/>
          <w:highlight w:val="none"/>
          <w:lang w:eastAsia="zh-CN"/>
        </w:rPr>
      </w:pPr>
      <w:r>
        <w:rPr>
          <w:rFonts w:hint="eastAsia" w:ascii="黑体" w:hAnsi="黑体" w:eastAsia="黑体" w:cs="黑体"/>
          <w:color w:val="auto"/>
          <w:sz w:val="32"/>
          <w:szCs w:val="32"/>
          <w:highlight w:val="none"/>
          <w:lang w:val="en-US" w:eastAsia="zh-CN"/>
        </w:rPr>
        <w:t>一、组织领导</w:t>
      </w:r>
    </w:p>
    <w:p w14:paraId="58519736">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firstLine="640" w:firstLineChars="200"/>
        <w:jc w:val="left"/>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成立鸠江</w:t>
      </w:r>
      <w:r>
        <w:rPr>
          <w:rFonts w:hint="eastAsia" w:ascii="仿宋_GB2312" w:hAnsi="仿宋_GB2312" w:eastAsia="仿宋_GB2312" w:cs="仿宋_GB2312"/>
          <w:color w:val="auto"/>
          <w:sz w:val="32"/>
          <w:szCs w:val="32"/>
          <w:highlight w:val="none"/>
        </w:rPr>
        <w:t>区</w:t>
      </w:r>
      <w:r>
        <w:rPr>
          <w:rFonts w:hint="eastAsia" w:ascii="仿宋_GB2312" w:hAnsi="仿宋_GB2312" w:eastAsia="仿宋_GB2312" w:cs="仿宋_GB2312"/>
          <w:color w:val="auto"/>
          <w:sz w:val="32"/>
          <w:szCs w:val="32"/>
          <w:highlight w:val="none"/>
          <w:lang w:val="en-US" w:eastAsia="zh-CN"/>
        </w:rPr>
        <w:t>预付式消费纠纷预防与处置</w:t>
      </w:r>
      <w:r>
        <w:rPr>
          <w:rFonts w:hint="eastAsia" w:ascii="仿宋_GB2312" w:hAnsi="仿宋_GB2312" w:eastAsia="仿宋_GB2312" w:cs="仿宋_GB2312"/>
          <w:color w:val="auto"/>
          <w:sz w:val="32"/>
          <w:szCs w:val="32"/>
          <w:highlight w:val="none"/>
        </w:rPr>
        <w:t>工作</w:t>
      </w:r>
      <w:r>
        <w:rPr>
          <w:rFonts w:hint="eastAsia" w:ascii="仿宋_GB2312" w:hAnsi="仿宋_GB2312" w:eastAsia="仿宋_GB2312" w:cs="仿宋_GB2312"/>
          <w:color w:val="auto"/>
          <w:sz w:val="32"/>
          <w:szCs w:val="32"/>
          <w:highlight w:val="none"/>
          <w:lang w:val="en-US" w:eastAsia="zh-CN"/>
        </w:rPr>
        <w:t>联席会议，联席会议召集人由分管副区长担任，</w:t>
      </w:r>
      <w:r>
        <w:rPr>
          <w:rFonts w:hint="eastAsia" w:ascii="仿宋_GB2312" w:hAnsi="仿宋_GB2312" w:eastAsia="仿宋_GB2312" w:cs="仿宋_GB2312"/>
          <w:color w:val="auto"/>
          <w:sz w:val="32"/>
          <w:szCs w:val="32"/>
          <w:highlight w:val="none"/>
        </w:rPr>
        <w:t>副</w:t>
      </w:r>
      <w:r>
        <w:rPr>
          <w:rFonts w:hint="eastAsia" w:ascii="仿宋_GB2312" w:hAnsi="仿宋_GB2312" w:eastAsia="仿宋_GB2312" w:cs="仿宋_GB2312"/>
          <w:color w:val="auto"/>
          <w:sz w:val="32"/>
          <w:szCs w:val="32"/>
          <w:highlight w:val="none"/>
          <w:lang w:val="en-US" w:eastAsia="zh-CN"/>
        </w:rPr>
        <w:t>召集人由</w:t>
      </w:r>
      <w:r>
        <w:rPr>
          <w:rFonts w:hint="eastAsia" w:ascii="仿宋_GB2312" w:hAnsi="仿宋_GB2312" w:eastAsia="仿宋_GB2312" w:cs="仿宋_GB2312"/>
          <w:color w:val="auto"/>
          <w:sz w:val="32"/>
          <w:szCs w:val="32"/>
          <w:highlight w:val="none"/>
        </w:rPr>
        <w:t>区市监局、</w:t>
      </w:r>
      <w:r>
        <w:rPr>
          <w:rFonts w:hint="eastAsia" w:ascii="仿宋_GB2312" w:hAnsi="仿宋_GB2312" w:eastAsia="仿宋_GB2312" w:cs="仿宋_GB2312"/>
          <w:color w:val="auto"/>
          <w:sz w:val="32"/>
          <w:szCs w:val="32"/>
          <w:highlight w:val="none"/>
          <w:lang w:val="en-US" w:eastAsia="zh-CN"/>
        </w:rPr>
        <w:t>区</w:t>
      </w:r>
      <w:r>
        <w:rPr>
          <w:rFonts w:hint="eastAsia" w:ascii="仿宋_GB2312" w:hAnsi="仿宋_GB2312" w:eastAsia="仿宋_GB2312" w:cs="仿宋_GB2312"/>
          <w:color w:val="auto"/>
          <w:sz w:val="32"/>
          <w:szCs w:val="32"/>
          <w:highlight w:val="none"/>
        </w:rPr>
        <w:t>商务局主要负责人、公安</w:t>
      </w:r>
      <w:r>
        <w:rPr>
          <w:rFonts w:hint="eastAsia" w:ascii="仿宋_GB2312" w:hAnsi="仿宋_GB2312" w:eastAsia="仿宋_GB2312" w:cs="仿宋_GB2312"/>
          <w:color w:val="auto"/>
          <w:sz w:val="32"/>
          <w:szCs w:val="32"/>
          <w:highlight w:val="none"/>
          <w:lang w:val="en-US" w:eastAsia="zh-CN"/>
        </w:rPr>
        <w:t>分</w:t>
      </w:r>
      <w:r>
        <w:rPr>
          <w:rFonts w:hint="eastAsia" w:ascii="仿宋_GB2312" w:hAnsi="仿宋_GB2312" w:eastAsia="仿宋_GB2312" w:cs="仿宋_GB2312"/>
          <w:color w:val="auto"/>
          <w:sz w:val="32"/>
          <w:szCs w:val="32"/>
          <w:highlight w:val="none"/>
        </w:rPr>
        <w:t>局</w:t>
      </w:r>
      <w:r>
        <w:rPr>
          <w:rFonts w:hint="eastAsia" w:ascii="仿宋_GB2312" w:hAnsi="仿宋_GB2312" w:eastAsia="仿宋_GB2312" w:cs="仿宋_GB2312"/>
          <w:color w:val="auto"/>
          <w:sz w:val="32"/>
          <w:szCs w:val="32"/>
          <w:highlight w:val="none"/>
          <w:lang w:val="en-US" w:eastAsia="zh-CN"/>
        </w:rPr>
        <w:t>分管</w:t>
      </w:r>
      <w:r>
        <w:rPr>
          <w:rFonts w:hint="eastAsia" w:ascii="仿宋_GB2312" w:hAnsi="仿宋_GB2312" w:eastAsia="仿宋_GB2312" w:cs="仿宋_GB2312"/>
          <w:color w:val="auto"/>
          <w:sz w:val="32"/>
          <w:szCs w:val="32"/>
          <w:highlight w:val="none"/>
        </w:rPr>
        <w:t>负责人</w:t>
      </w:r>
      <w:r>
        <w:rPr>
          <w:rFonts w:hint="eastAsia" w:ascii="仿宋_GB2312" w:hAnsi="仿宋_GB2312" w:eastAsia="仿宋_GB2312" w:cs="仿宋_GB2312"/>
          <w:color w:val="auto"/>
          <w:sz w:val="32"/>
          <w:szCs w:val="32"/>
          <w:highlight w:val="none"/>
          <w:lang w:val="en-US" w:eastAsia="zh-CN"/>
        </w:rPr>
        <w:t>担任，联席会议</w:t>
      </w:r>
      <w:r>
        <w:rPr>
          <w:rFonts w:hint="eastAsia" w:ascii="仿宋_GB2312" w:hAnsi="仿宋_GB2312" w:eastAsia="仿宋_GB2312" w:cs="仿宋_GB2312"/>
          <w:color w:val="auto"/>
          <w:sz w:val="32"/>
          <w:szCs w:val="32"/>
          <w:highlight w:val="none"/>
        </w:rPr>
        <w:t>办公室设在</w:t>
      </w:r>
      <w:r>
        <w:rPr>
          <w:rFonts w:hint="eastAsia" w:ascii="仿宋_GB2312" w:hAnsi="仿宋_GB2312" w:eastAsia="仿宋_GB2312" w:cs="仿宋_GB2312"/>
          <w:color w:val="auto"/>
          <w:sz w:val="32"/>
          <w:szCs w:val="32"/>
          <w:highlight w:val="none"/>
          <w:lang w:val="en-US" w:eastAsia="zh-CN"/>
        </w:rPr>
        <w:t>区市监局</w:t>
      </w:r>
      <w:r>
        <w:rPr>
          <w:rFonts w:hint="eastAsia" w:ascii="仿宋_GB2312" w:hAnsi="仿宋_GB2312" w:eastAsia="仿宋_GB2312" w:cs="仿宋_GB2312"/>
          <w:color w:val="auto"/>
          <w:sz w:val="32"/>
          <w:szCs w:val="32"/>
          <w:highlight w:val="none"/>
        </w:rPr>
        <w:t>，统筹协调日常工作</w:t>
      </w:r>
      <w:r>
        <w:rPr>
          <w:rFonts w:hint="eastAsia" w:ascii="仿宋_GB2312" w:hAnsi="仿宋_GB2312" w:eastAsia="仿宋_GB2312" w:cs="仿宋_GB2312"/>
          <w:color w:val="auto"/>
          <w:sz w:val="32"/>
          <w:szCs w:val="32"/>
          <w:highlight w:val="none"/>
          <w:lang w:val="en-US" w:eastAsia="zh-CN"/>
        </w:rPr>
        <w:t>。</w:t>
      </w:r>
    </w:p>
    <w:p w14:paraId="3C23C269">
      <w:pPr>
        <w:keepNext w:val="0"/>
        <w:keepLines w:val="0"/>
        <w:pageBreakBefore w:val="0"/>
        <w:widowControl w:val="0"/>
        <w:kinsoku/>
        <w:wordWrap/>
        <w:overflowPunct/>
        <w:topLinePunct w:val="0"/>
        <w:autoSpaceDE/>
        <w:autoSpaceDN/>
        <w:bidi w:val="0"/>
        <w:adjustRightInd/>
        <w:snapToGrid/>
        <w:spacing w:line="600" w:lineRule="exact"/>
        <w:ind w:left="0" w:firstLine="640" w:firstLineChars="200"/>
        <w:jc w:val="left"/>
        <w:textAlignment w:val="auto"/>
        <w:rPr>
          <w:rFonts w:hint="eastAsia" w:ascii="黑体" w:hAnsi="黑体" w:eastAsia="黑体" w:cs="黑体"/>
          <w:color w:val="auto"/>
          <w:kern w:val="2"/>
          <w:sz w:val="32"/>
          <w:szCs w:val="32"/>
          <w:highlight w:val="none"/>
          <w:lang w:val="en-US" w:eastAsia="zh-CN" w:bidi="ar-SA"/>
        </w:rPr>
      </w:pPr>
      <w:r>
        <w:rPr>
          <w:rFonts w:hint="eastAsia" w:ascii="黑体" w:hAnsi="黑体" w:eastAsia="黑体" w:cs="黑体"/>
          <w:color w:val="auto"/>
          <w:kern w:val="2"/>
          <w:sz w:val="32"/>
          <w:szCs w:val="32"/>
          <w:highlight w:val="none"/>
          <w:lang w:val="en-US" w:eastAsia="zh-CN" w:bidi="ar-SA"/>
        </w:rPr>
        <w:t>二、部门职责</w:t>
      </w:r>
    </w:p>
    <w:p w14:paraId="106B71EF">
      <w:pPr>
        <w:keepNext w:val="0"/>
        <w:keepLines w:val="0"/>
        <w:pageBreakBefore w:val="0"/>
        <w:widowControl w:val="0"/>
        <w:suppressLineNumbers w:val="0"/>
        <w:kinsoku/>
        <w:wordWrap/>
        <w:overflowPunct/>
        <w:topLinePunct w:val="0"/>
        <w:autoSpaceDE/>
        <w:autoSpaceDN/>
        <w:bidi w:val="0"/>
        <w:adjustRightInd/>
        <w:snapToGrid/>
        <w:spacing w:line="600" w:lineRule="exact"/>
        <w:ind w:left="0" w:leftChars="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kern w:val="0"/>
          <w:sz w:val="32"/>
          <w:szCs w:val="32"/>
          <w:highlight w:val="none"/>
          <w:lang w:val="en-US" w:eastAsia="zh-CN" w:bidi="ar"/>
        </w:rPr>
        <w:t>根据“谁审批、谁监管，谁主管、谁监管”的原则，</w:t>
      </w:r>
      <w:r>
        <w:rPr>
          <w:rFonts w:hint="eastAsia" w:ascii="仿宋_GB2312" w:hAnsi="仿宋_GB2312" w:eastAsia="仿宋_GB2312" w:cs="仿宋_GB2312"/>
          <w:color w:val="auto"/>
          <w:sz w:val="32"/>
          <w:szCs w:val="32"/>
          <w:highlight w:val="none"/>
        </w:rPr>
        <w:t>明确行业主管部门责任</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按行业划分职责，实现精准监管</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同时，</w:t>
      </w:r>
      <w:r>
        <w:rPr>
          <w:rFonts w:hint="eastAsia" w:ascii="仿宋_GB2312" w:hAnsi="仿宋_GB2312" w:eastAsia="仿宋_GB2312" w:cs="仿宋_GB2312"/>
          <w:color w:val="auto"/>
          <w:sz w:val="32"/>
          <w:szCs w:val="32"/>
          <w:highlight w:val="none"/>
        </w:rPr>
        <w:t>强化属地管理</w:t>
      </w:r>
      <w:r>
        <w:rPr>
          <w:rFonts w:hint="eastAsia" w:ascii="仿宋_GB2312" w:hAnsi="仿宋_GB2312" w:eastAsia="仿宋_GB2312" w:cs="仿宋_GB2312"/>
          <w:color w:val="auto"/>
          <w:sz w:val="32"/>
          <w:szCs w:val="32"/>
          <w:highlight w:val="none"/>
          <w:lang w:val="en-US" w:eastAsia="zh-CN"/>
        </w:rPr>
        <w:t>责任，各镇街做好</w:t>
      </w:r>
      <w:r>
        <w:rPr>
          <w:rFonts w:hint="eastAsia" w:ascii="仿宋_GB2312" w:hAnsi="仿宋_GB2312" w:eastAsia="仿宋_GB2312" w:cs="仿宋_GB2312"/>
          <w:color w:val="auto"/>
          <w:sz w:val="32"/>
          <w:szCs w:val="32"/>
          <w:highlight w:val="none"/>
        </w:rPr>
        <w:t>风险排查、纠纷调解及维稳工作，配合行业</w:t>
      </w:r>
      <w:r>
        <w:rPr>
          <w:rFonts w:hint="eastAsia" w:ascii="仿宋_GB2312" w:hAnsi="仿宋_GB2312" w:eastAsia="仿宋_GB2312" w:cs="仿宋_GB2312"/>
          <w:color w:val="auto"/>
          <w:sz w:val="32"/>
          <w:szCs w:val="32"/>
          <w:highlight w:val="none"/>
          <w:lang w:val="en-US" w:eastAsia="zh-CN"/>
        </w:rPr>
        <w:t>主管</w:t>
      </w:r>
      <w:r>
        <w:rPr>
          <w:rFonts w:hint="eastAsia" w:ascii="仿宋_GB2312" w:hAnsi="仿宋_GB2312" w:eastAsia="仿宋_GB2312" w:cs="仿宋_GB2312"/>
          <w:color w:val="auto"/>
          <w:sz w:val="32"/>
          <w:szCs w:val="32"/>
          <w:highlight w:val="none"/>
        </w:rPr>
        <w:t>部门落实监管措施</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各相关部门职责分工如下：</w:t>
      </w:r>
    </w:p>
    <w:p w14:paraId="73C0BD60">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区市监局</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承担办公室日常工作，</w:t>
      </w:r>
      <w:r>
        <w:rPr>
          <w:rFonts w:hint="eastAsia" w:ascii="仿宋_GB2312" w:hAnsi="仿宋_GB2312" w:eastAsia="仿宋_GB2312" w:cs="仿宋_GB2312"/>
          <w:color w:val="auto"/>
          <w:kern w:val="0"/>
          <w:sz w:val="32"/>
          <w:szCs w:val="32"/>
          <w:highlight w:val="none"/>
          <w:lang w:val="en-US" w:eastAsia="zh-CN" w:bidi="ar"/>
        </w:rPr>
        <w:t>负责牵头协调</w:t>
      </w:r>
      <w:r>
        <w:rPr>
          <w:rFonts w:hint="eastAsia" w:ascii="仿宋_GB2312" w:hAnsi="仿宋_GB2312" w:eastAsia="仿宋_GB2312" w:cs="仿宋_GB2312"/>
          <w:color w:val="auto"/>
          <w:sz w:val="32"/>
          <w:szCs w:val="32"/>
          <w:highlight w:val="none"/>
          <w:lang w:val="en-US" w:eastAsia="zh-CN"/>
        </w:rPr>
        <w:t>预付式</w:t>
      </w:r>
      <w:r>
        <w:rPr>
          <w:rFonts w:hint="eastAsia" w:ascii="仿宋_GB2312" w:hAnsi="仿宋_GB2312" w:eastAsia="仿宋_GB2312" w:cs="仿宋_GB2312"/>
          <w:color w:val="auto"/>
          <w:sz w:val="32"/>
          <w:szCs w:val="32"/>
          <w:highlight w:val="none"/>
        </w:rPr>
        <w:t>消费纠纷</w:t>
      </w:r>
      <w:r>
        <w:rPr>
          <w:rFonts w:hint="eastAsia" w:ascii="仿宋_GB2312" w:hAnsi="仿宋_GB2312" w:eastAsia="仿宋_GB2312" w:cs="仿宋_GB2312"/>
          <w:color w:val="auto"/>
          <w:sz w:val="32"/>
          <w:szCs w:val="32"/>
          <w:highlight w:val="none"/>
          <w:lang w:val="en-US" w:eastAsia="zh-CN"/>
        </w:rPr>
        <w:t>预防与处置总体工作</w:t>
      </w:r>
      <w:r>
        <w:rPr>
          <w:rFonts w:hint="eastAsia" w:ascii="仿宋_GB2312" w:hAnsi="仿宋_GB2312" w:eastAsia="仿宋_GB2312" w:cs="仿宋_GB2312"/>
          <w:color w:val="auto"/>
          <w:kern w:val="0"/>
          <w:sz w:val="32"/>
          <w:szCs w:val="32"/>
          <w:highlight w:val="none"/>
          <w:lang w:val="en-US" w:eastAsia="zh-CN" w:bidi="ar"/>
        </w:rPr>
        <w:t>；</w:t>
      </w:r>
      <w:r>
        <w:rPr>
          <w:rFonts w:hint="eastAsia" w:ascii="仿宋_GB2312" w:hAnsi="仿宋_GB2312" w:eastAsia="仿宋_GB2312" w:cs="仿宋_GB2312"/>
          <w:color w:val="auto"/>
          <w:sz w:val="32"/>
          <w:szCs w:val="32"/>
          <w:highlight w:val="none"/>
        </w:rPr>
        <w:t>负责</w:t>
      </w:r>
      <w:r>
        <w:rPr>
          <w:rFonts w:hint="eastAsia" w:ascii="仿宋_GB2312" w:hAnsi="仿宋_GB2312" w:eastAsia="仿宋_GB2312" w:cs="仿宋_GB2312"/>
          <w:color w:val="auto"/>
          <w:sz w:val="32"/>
          <w:szCs w:val="32"/>
          <w:highlight w:val="none"/>
          <w:lang w:val="en-US" w:eastAsia="zh-CN"/>
        </w:rPr>
        <w:t>汽车4S店、新能源汽车及电动车充电服务、停车收费服务、托管机构等</w:t>
      </w:r>
      <w:r>
        <w:rPr>
          <w:rFonts w:hint="eastAsia" w:ascii="仿宋_GB2312" w:hAnsi="仿宋_GB2312" w:eastAsia="仿宋_GB2312" w:cs="仿宋_GB2312"/>
          <w:color w:val="auto"/>
          <w:sz w:val="32"/>
          <w:szCs w:val="32"/>
          <w:highlight w:val="none"/>
        </w:rPr>
        <w:t>预付</w:t>
      </w:r>
      <w:r>
        <w:rPr>
          <w:rFonts w:hint="eastAsia" w:ascii="仿宋_GB2312" w:hAnsi="仿宋_GB2312" w:eastAsia="仿宋_GB2312" w:cs="仿宋_GB2312"/>
          <w:color w:val="auto"/>
          <w:sz w:val="32"/>
          <w:szCs w:val="32"/>
          <w:highlight w:val="none"/>
          <w:lang w:val="en-US" w:eastAsia="zh-CN"/>
        </w:rPr>
        <w:t>式</w:t>
      </w:r>
      <w:r>
        <w:rPr>
          <w:rFonts w:hint="eastAsia" w:ascii="仿宋_GB2312" w:hAnsi="仿宋_GB2312" w:eastAsia="仿宋_GB2312" w:cs="仿宋_GB2312"/>
          <w:color w:val="auto"/>
          <w:sz w:val="32"/>
          <w:szCs w:val="32"/>
          <w:highlight w:val="none"/>
        </w:rPr>
        <w:t>消费的</w:t>
      </w:r>
      <w:r>
        <w:rPr>
          <w:rFonts w:hint="eastAsia" w:ascii="仿宋_GB2312" w:hAnsi="仿宋_GB2312" w:eastAsia="仿宋_GB2312" w:cs="仿宋_GB2312"/>
          <w:color w:val="auto"/>
          <w:sz w:val="32"/>
          <w:szCs w:val="32"/>
          <w:highlight w:val="none"/>
          <w:lang w:val="en-US" w:eastAsia="zh-CN"/>
        </w:rPr>
        <w:t>底数摸排、</w:t>
      </w:r>
      <w:r>
        <w:rPr>
          <w:rFonts w:hint="eastAsia" w:ascii="仿宋_GB2312" w:hAnsi="仿宋_GB2312" w:eastAsia="仿宋_GB2312" w:cs="仿宋_GB2312"/>
          <w:color w:val="auto"/>
          <w:sz w:val="32"/>
          <w:szCs w:val="32"/>
          <w:highlight w:val="none"/>
        </w:rPr>
        <w:t>专项整治和调解处置</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根据职责</w:t>
      </w:r>
      <w:r>
        <w:rPr>
          <w:rFonts w:hint="eastAsia" w:ascii="仿宋_GB2312" w:hAnsi="仿宋_GB2312" w:eastAsia="仿宋_GB2312" w:cs="仿宋_GB2312"/>
          <w:color w:val="auto"/>
          <w:sz w:val="32"/>
          <w:szCs w:val="32"/>
          <w:highlight w:val="none"/>
          <w:lang w:val="en-US" w:eastAsia="zh-CN"/>
        </w:rPr>
        <w:t>对</w:t>
      </w:r>
      <w:r>
        <w:rPr>
          <w:rFonts w:hint="eastAsia" w:ascii="仿宋_GB2312" w:hAnsi="仿宋_GB2312" w:eastAsia="仿宋_GB2312" w:cs="仿宋_GB2312"/>
          <w:color w:val="auto"/>
          <w:sz w:val="32"/>
          <w:szCs w:val="32"/>
          <w:highlight w:val="none"/>
        </w:rPr>
        <w:t>相关部门移交</w:t>
      </w:r>
      <w:r>
        <w:rPr>
          <w:rFonts w:hint="eastAsia" w:ascii="仿宋_GB2312" w:hAnsi="仿宋_GB2312" w:eastAsia="仿宋_GB2312" w:cs="仿宋_GB2312"/>
          <w:color w:val="auto"/>
          <w:sz w:val="32"/>
          <w:szCs w:val="32"/>
          <w:highlight w:val="none"/>
          <w:lang w:val="en-US" w:eastAsia="zh-CN"/>
        </w:rPr>
        <w:t>的</w:t>
      </w:r>
      <w:r>
        <w:rPr>
          <w:rFonts w:hint="eastAsia" w:ascii="仿宋_GB2312" w:hAnsi="仿宋_GB2312" w:eastAsia="仿宋_GB2312" w:cs="仿宋_GB2312"/>
          <w:color w:val="auto"/>
          <w:sz w:val="32"/>
          <w:szCs w:val="32"/>
          <w:highlight w:val="none"/>
        </w:rPr>
        <w:t>需立案调查的相关证据材料开展核查</w:t>
      </w:r>
      <w:r>
        <w:rPr>
          <w:rFonts w:hint="eastAsia" w:ascii="仿宋_GB2312" w:hAnsi="仿宋_GB2312" w:eastAsia="仿宋_GB2312" w:cs="仿宋_GB2312"/>
          <w:color w:val="auto"/>
          <w:sz w:val="32"/>
          <w:szCs w:val="32"/>
          <w:highlight w:val="none"/>
          <w:lang w:val="en-US" w:eastAsia="zh-CN"/>
        </w:rPr>
        <w:t>处理</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并配合职能部门开展相关工作</w:t>
      </w:r>
      <w:r>
        <w:rPr>
          <w:rFonts w:hint="eastAsia" w:ascii="仿宋_GB2312" w:hAnsi="仿宋_GB2312" w:eastAsia="仿宋_GB2312" w:cs="仿宋_GB2312"/>
          <w:color w:val="auto"/>
          <w:sz w:val="32"/>
          <w:szCs w:val="32"/>
          <w:highlight w:val="none"/>
        </w:rPr>
        <w:t>。</w:t>
      </w:r>
    </w:p>
    <w:p w14:paraId="6753B278">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区商务局</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负责</w:t>
      </w:r>
      <w:r>
        <w:rPr>
          <w:rFonts w:hint="eastAsia" w:ascii="仿宋_GB2312" w:hAnsi="仿宋_GB2312" w:eastAsia="仿宋_GB2312" w:cs="仿宋_GB2312"/>
          <w:color w:val="auto"/>
          <w:kern w:val="0"/>
          <w:sz w:val="32"/>
          <w:szCs w:val="32"/>
          <w:highlight w:val="none"/>
          <w:lang w:val="en-US" w:eastAsia="zh-CN" w:bidi="ar"/>
        </w:rPr>
        <w:t>商贸流通、</w:t>
      </w:r>
      <w:r>
        <w:rPr>
          <w:rFonts w:hint="eastAsia" w:ascii="仿宋_GB2312" w:hAnsi="仿宋_GB2312" w:eastAsia="仿宋_GB2312" w:cs="仿宋_GB2312"/>
          <w:color w:val="auto"/>
          <w:sz w:val="32"/>
          <w:szCs w:val="32"/>
          <w:highlight w:val="none"/>
        </w:rPr>
        <w:t>餐饮、美容美发</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非星级酒店、</w:t>
      </w:r>
      <w:r>
        <w:rPr>
          <w:rFonts w:hint="eastAsia" w:ascii="仿宋_GB2312" w:hAnsi="仿宋_GB2312" w:eastAsia="仿宋_GB2312" w:cs="仿宋_GB2312"/>
          <w:i w:val="0"/>
          <w:iCs w:val="0"/>
          <w:caps w:val="0"/>
          <w:color w:val="auto"/>
          <w:spacing w:val="0"/>
          <w:sz w:val="32"/>
          <w:szCs w:val="32"/>
          <w:highlight w:val="none"/>
          <w:lang w:val="en-US" w:eastAsia="zh-CN"/>
        </w:rPr>
        <w:t>商超</w:t>
      </w:r>
      <w:r>
        <w:rPr>
          <w:rFonts w:hint="eastAsia" w:ascii="仿宋_GB2312" w:hAnsi="仿宋_GB2312" w:eastAsia="仿宋_GB2312" w:cs="仿宋_GB2312"/>
          <w:i w:val="0"/>
          <w:iCs w:val="0"/>
          <w:caps w:val="0"/>
          <w:color w:val="auto"/>
          <w:spacing w:val="0"/>
          <w:sz w:val="32"/>
          <w:szCs w:val="32"/>
          <w:highlight w:val="none"/>
        </w:rPr>
        <w:t>、</w:t>
      </w:r>
      <w:r>
        <w:rPr>
          <w:rFonts w:hint="eastAsia" w:ascii="仿宋_GB2312" w:hAnsi="仿宋_GB2312" w:eastAsia="仿宋_GB2312" w:cs="仿宋_GB2312"/>
          <w:i w:val="0"/>
          <w:iCs w:val="0"/>
          <w:caps w:val="0"/>
          <w:color w:val="auto"/>
          <w:spacing w:val="0"/>
          <w:sz w:val="32"/>
          <w:szCs w:val="32"/>
          <w:highlight w:val="none"/>
          <w:lang w:val="en-US" w:eastAsia="zh-CN"/>
        </w:rPr>
        <w:t>洗衣店、家电维修、家庭服务、二手车、商业综合体及周边游乐场所</w:t>
      </w:r>
      <w:r>
        <w:rPr>
          <w:rFonts w:hint="eastAsia" w:ascii="仿宋_GB2312" w:hAnsi="仿宋_GB2312" w:eastAsia="仿宋_GB2312" w:cs="仿宋_GB2312"/>
          <w:color w:val="auto"/>
          <w:sz w:val="32"/>
          <w:szCs w:val="32"/>
          <w:highlight w:val="none"/>
        </w:rPr>
        <w:t>等预付</w:t>
      </w:r>
      <w:r>
        <w:rPr>
          <w:rFonts w:hint="eastAsia" w:ascii="仿宋_GB2312" w:hAnsi="仿宋_GB2312" w:eastAsia="仿宋_GB2312" w:cs="仿宋_GB2312"/>
          <w:color w:val="auto"/>
          <w:sz w:val="32"/>
          <w:szCs w:val="32"/>
          <w:highlight w:val="none"/>
          <w:lang w:val="en-US" w:eastAsia="zh-CN"/>
        </w:rPr>
        <w:t>式</w:t>
      </w:r>
      <w:r>
        <w:rPr>
          <w:rFonts w:hint="eastAsia" w:ascii="仿宋_GB2312" w:hAnsi="仿宋_GB2312" w:eastAsia="仿宋_GB2312" w:cs="仿宋_GB2312"/>
          <w:color w:val="auto"/>
          <w:sz w:val="32"/>
          <w:szCs w:val="32"/>
          <w:highlight w:val="none"/>
        </w:rPr>
        <w:t>消费的</w:t>
      </w:r>
      <w:r>
        <w:rPr>
          <w:rFonts w:hint="eastAsia" w:ascii="仿宋_GB2312" w:hAnsi="仿宋_GB2312" w:eastAsia="仿宋_GB2312" w:cs="仿宋_GB2312"/>
          <w:color w:val="auto"/>
          <w:sz w:val="32"/>
          <w:szCs w:val="32"/>
          <w:highlight w:val="none"/>
          <w:lang w:val="en-US" w:eastAsia="zh-CN"/>
        </w:rPr>
        <w:t>底数摸排、</w:t>
      </w:r>
      <w:r>
        <w:rPr>
          <w:rFonts w:hint="eastAsia" w:ascii="仿宋_GB2312" w:hAnsi="仿宋_GB2312" w:eastAsia="仿宋_GB2312" w:cs="仿宋_GB2312"/>
          <w:color w:val="auto"/>
          <w:sz w:val="32"/>
          <w:szCs w:val="32"/>
          <w:highlight w:val="none"/>
        </w:rPr>
        <w:t>专项整治和调解处置</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对发现、移送的违法线索进行处理</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责令改正，需要立案查处的</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移送</w:t>
      </w:r>
      <w:r>
        <w:rPr>
          <w:rFonts w:hint="eastAsia" w:ascii="仿宋_GB2312" w:hAnsi="仿宋_GB2312" w:eastAsia="仿宋_GB2312" w:cs="仿宋_GB2312"/>
          <w:color w:val="auto"/>
          <w:sz w:val="32"/>
          <w:szCs w:val="32"/>
          <w:highlight w:val="none"/>
          <w:lang w:val="en-US" w:eastAsia="zh-CN"/>
        </w:rPr>
        <w:t>市监</w:t>
      </w:r>
      <w:r>
        <w:rPr>
          <w:rFonts w:hint="eastAsia" w:ascii="仿宋_GB2312" w:hAnsi="仿宋_GB2312" w:eastAsia="仿宋_GB2312" w:cs="仿宋_GB2312"/>
          <w:color w:val="auto"/>
          <w:sz w:val="32"/>
          <w:szCs w:val="32"/>
          <w:highlight w:val="none"/>
        </w:rPr>
        <w:t>部门。</w:t>
      </w:r>
    </w:p>
    <w:p w14:paraId="2D2C8C89">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鸠江</w:t>
      </w:r>
      <w:r>
        <w:rPr>
          <w:rFonts w:hint="eastAsia" w:ascii="仿宋_GB2312" w:hAnsi="仿宋_GB2312" w:eastAsia="仿宋_GB2312" w:cs="仿宋_GB2312"/>
          <w:color w:val="auto"/>
          <w:sz w:val="32"/>
          <w:szCs w:val="32"/>
          <w:highlight w:val="none"/>
        </w:rPr>
        <w:t>公安分局</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负责指导</w:t>
      </w:r>
      <w:r>
        <w:rPr>
          <w:rFonts w:hint="eastAsia" w:ascii="仿宋_GB2312" w:hAnsi="仿宋_GB2312" w:eastAsia="仿宋_GB2312" w:cs="仿宋_GB2312"/>
          <w:color w:val="auto"/>
          <w:sz w:val="32"/>
          <w:szCs w:val="32"/>
          <w:highlight w:val="none"/>
          <w:lang w:val="en-US" w:eastAsia="zh-CN"/>
        </w:rPr>
        <w:t>预付式</w:t>
      </w:r>
      <w:r>
        <w:rPr>
          <w:rFonts w:hint="eastAsia" w:ascii="仿宋_GB2312" w:hAnsi="仿宋_GB2312" w:eastAsia="仿宋_GB2312" w:cs="仿宋_GB2312"/>
          <w:color w:val="auto"/>
          <w:sz w:val="32"/>
          <w:szCs w:val="32"/>
          <w:highlight w:val="none"/>
        </w:rPr>
        <w:t>消费相关行业主管部门调查取证和移交工作；对处理纠纷事件中拒不配合、无法联系的经营者做好落地找人工作；按照职责对涉嫌</w:t>
      </w:r>
      <w:r>
        <w:rPr>
          <w:rFonts w:hint="eastAsia" w:ascii="仿宋_GB2312" w:hAnsi="仿宋_GB2312" w:eastAsia="仿宋_GB2312" w:cs="仿宋_GB2312"/>
          <w:color w:val="auto"/>
          <w:sz w:val="32"/>
          <w:szCs w:val="32"/>
          <w:highlight w:val="none"/>
          <w:lang w:val="en-US" w:eastAsia="zh-CN"/>
        </w:rPr>
        <w:t>预付式</w:t>
      </w:r>
      <w:r>
        <w:rPr>
          <w:rFonts w:hint="eastAsia" w:ascii="仿宋_GB2312" w:hAnsi="仿宋_GB2312" w:eastAsia="仿宋_GB2312" w:cs="仿宋_GB2312"/>
          <w:color w:val="auto"/>
          <w:sz w:val="32"/>
          <w:szCs w:val="32"/>
          <w:highlight w:val="none"/>
        </w:rPr>
        <w:t>消费</w:t>
      </w:r>
      <w:r>
        <w:rPr>
          <w:rFonts w:hint="eastAsia" w:ascii="仿宋_GB2312" w:hAnsi="仿宋_GB2312" w:eastAsia="仿宋_GB2312" w:cs="仿宋_GB2312"/>
          <w:color w:val="auto"/>
          <w:sz w:val="32"/>
          <w:szCs w:val="32"/>
          <w:highlight w:val="none"/>
          <w:lang w:val="en-US" w:eastAsia="zh-CN"/>
        </w:rPr>
        <w:t>纠纷中</w:t>
      </w:r>
      <w:r>
        <w:rPr>
          <w:rFonts w:hint="eastAsia" w:ascii="仿宋_GB2312" w:hAnsi="仿宋_GB2312" w:eastAsia="仿宋_GB2312" w:cs="仿宋_GB2312"/>
          <w:color w:val="auto"/>
          <w:sz w:val="32"/>
          <w:szCs w:val="32"/>
          <w:highlight w:val="none"/>
        </w:rPr>
        <w:t>“卷款跑路”、诈骗、非法集资等违法行为依法立案查处。</w:t>
      </w:r>
    </w:p>
    <w:p w14:paraId="7617B2F6">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区</w:t>
      </w:r>
      <w:r>
        <w:rPr>
          <w:rFonts w:hint="eastAsia" w:ascii="仿宋_GB2312" w:hAnsi="仿宋_GB2312" w:eastAsia="仿宋_GB2312" w:cs="仿宋_GB2312"/>
          <w:color w:val="auto"/>
          <w:sz w:val="32"/>
          <w:szCs w:val="32"/>
          <w:highlight w:val="none"/>
        </w:rPr>
        <w:t>法院</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开通</w:t>
      </w:r>
      <w:r>
        <w:rPr>
          <w:rFonts w:hint="eastAsia" w:ascii="仿宋_GB2312" w:hAnsi="仿宋_GB2312" w:eastAsia="仿宋_GB2312" w:cs="仿宋_GB2312"/>
          <w:color w:val="auto"/>
          <w:sz w:val="32"/>
          <w:szCs w:val="32"/>
          <w:highlight w:val="none"/>
          <w:lang w:val="en-US" w:eastAsia="zh-CN"/>
        </w:rPr>
        <w:t>预付式消费</w:t>
      </w:r>
      <w:r>
        <w:rPr>
          <w:rFonts w:hint="eastAsia" w:ascii="仿宋_GB2312" w:hAnsi="仿宋_GB2312" w:eastAsia="仿宋_GB2312" w:cs="仿宋_GB2312"/>
          <w:color w:val="auto"/>
          <w:sz w:val="32"/>
          <w:szCs w:val="32"/>
          <w:highlight w:val="none"/>
        </w:rPr>
        <w:t>纠纷诉讼“绿色通道”，推动诉前调解和简易程序审理。</w:t>
      </w:r>
    </w:p>
    <w:p w14:paraId="276593D5">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区委宣传部</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负责书店、影院等预付</w:t>
      </w:r>
      <w:r>
        <w:rPr>
          <w:rFonts w:hint="eastAsia" w:ascii="仿宋_GB2312" w:hAnsi="仿宋_GB2312" w:eastAsia="仿宋_GB2312" w:cs="仿宋_GB2312"/>
          <w:color w:val="auto"/>
          <w:sz w:val="32"/>
          <w:szCs w:val="32"/>
          <w:highlight w:val="none"/>
          <w:lang w:val="en-US" w:eastAsia="zh-CN"/>
        </w:rPr>
        <w:t>式</w:t>
      </w:r>
      <w:r>
        <w:rPr>
          <w:rFonts w:hint="eastAsia" w:ascii="仿宋_GB2312" w:hAnsi="仿宋_GB2312" w:eastAsia="仿宋_GB2312" w:cs="仿宋_GB2312"/>
          <w:color w:val="auto"/>
          <w:sz w:val="32"/>
          <w:szCs w:val="32"/>
          <w:highlight w:val="none"/>
        </w:rPr>
        <w:t>消费的</w:t>
      </w:r>
      <w:r>
        <w:rPr>
          <w:rFonts w:hint="eastAsia" w:ascii="仿宋_GB2312" w:hAnsi="仿宋_GB2312" w:eastAsia="仿宋_GB2312" w:cs="仿宋_GB2312"/>
          <w:color w:val="auto"/>
          <w:sz w:val="32"/>
          <w:szCs w:val="32"/>
          <w:highlight w:val="none"/>
          <w:lang w:val="en-US" w:eastAsia="zh-CN"/>
        </w:rPr>
        <w:t>底数摸排、</w:t>
      </w:r>
      <w:r>
        <w:rPr>
          <w:rFonts w:hint="eastAsia" w:ascii="仿宋_GB2312" w:hAnsi="仿宋_GB2312" w:eastAsia="仿宋_GB2312" w:cs="仿宋_GB2312"/>
          <w:color w:val="auto"/>
          <w:sz w:val="32"/>
          <w:szCs w:val="32"/>
          <w:highlight w:val="none"/>
        </w:rPr>
        <w:t>专项整治和调解处置</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协助做好预付</w:t>
      </w:r>
      <w:r>
        <w:rPr>
          <w:rFonts w:hint="eastAsia" w:ascii="仿宋_GB2312" w:hAnsi="仿宋_GB2312" w:eastAsia="仿宋_GB2312" w:cs="仿宋_GB2312"/>
          <w:color w:val="auto"/>
          <w:sz w:val="32"/>
          <w:szCs w:val="32"/>
          <w:highlight w:val="none"/>
          <w:lang w:val="en-US" w:eastAsia="zh-CN"/>
        </w:rPr>
        <w:t>式</w:t>
      </w:r>
      <w:r>
        <w:rPr>
          <w:rFonts w:hint="eastAsia" w:ascii="仿宋_GB2312" w:hAnsi="仿宋_GB2312" w:eastAsia="仿宋_GB2312" w:cs="仿宋_GB2312"/>
          <w:color w:val="auto"/>
          <w:sz w:val="32"/>
          <w:szCs w:val="32"/>
          <w:highlight w:val="none"/>
        </w:rPr>
        <w:t>消费防范提醒、警示教育、宣传引导等相关媒体报道工作；负责预付</w:t>
      </w:r>
      <w:r>
        <w:rPr>
          <w:rFonts w:hint="eastAsia" w:ascii="仿宋_GB2312" w:hAnsi="仿宋_GB2312" w:eastAsia="仿宋_GB2312" w:cs="仿宋_GB2312"/>
          <w:color w:val="auto"/>
          <w:sz w:val="32"/>
          <w:szCs w:val="32"/>
          <w:highlight w:val="none"/>
          <w:lang w:val="en-US" w:eastAsia="zh-CN"/>
        </w:rPr>
        <w:t>式</w:t>
      </w:r>
      <w:r>
        <w:rPr>
          <w:rFonts w:hint="eastAsia" w:ascii="仿宋_GB2312" w:hAnsi="仿宋_GB2312" w:eastAsia="仿宋_GB2312" w:cs="仿宋_GB2312"/>
          <w:color w:val="auto"/>
          <w:sz w:val="32"/>
          <w:szCs w:val="32"/>
          <w:highlight w:val="none"/>
        </w:rPr>
        <w:t>消费专项治理网络舆情监测等工作。</w:t>
      </w:r>
    </w:p>
    <w:p w14:paraId="0F2949AE">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区委政法委</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负责分析研判预付</w:t>
      </w:r>
      <w:r>
        <w:rPr>
          <w:rFonts w:hint="eastAsia" w:ascii="仿宋_GB2312" w:hAnsi="仿宋_GB2312" w:eastAsia="仿宋_GB2312" w:cs="仿宋_GB2312"/>
          <w:color w:val="auto"/>
          <w:sz w:val="32"/>
          <w:szCs w:val="32"/>
          <w:highlight w:val="none"/>
          <w:lang w:val="en-US" w:eastAsia="zh-CN"/>
        </w:rPr>
        <w:t>式</w:t>
      </w:r>
      <w:r>
        <w:rPr>
          <w:rFonts w:hint="eastAsia" w:ascii="仿宋_GB2312" w:hAnsi="仿宋_GB2312" w:eastAsia="仿宋_GB2312" w:cs="仿宋_GB2312"/>
          <w:color w:val="auto"/>
          <w:sz w:val="32"/>
          <w:szCs w:val="32"/>
          <w:highlight w:val="none"/>
        </w:rPr>
        <w:t>消费领域涉稳风险；</w:t>
      </w:r>
      <w:r>
        <w:rPr>
          <w:rFonts w:hint="eastAsia" w:ascii="仿宋_GB2312" w:hAnsi="仿宋_GB2312" w:eastAsia="仿宋_GB2312" w:cs="仿宋_GB2312"/>
          <w:color w:val="auto"/>
          <w:sz w:val="32"/>
          <w:szCs w:val="32"/>
          <w:highlight w:val="none"/>
          <w:lang w:val="en-US" w:eastAsia="zh-CN"/>
        </w:rPr>
        <w:t>组织</w:t>
      </w:r>
      <w:r>
        <w:rPr>
          <w:rFonts w:hint="eastAsia" w:ascii="仿宋_GB2312" w:hAnsi="仿宋_GB2312" w:eastAsia="仿宋_GB2312" w:cs="仿宋_GB2312"/>
          <w:color w:val="auto"/>
          <w:sz w:val="32"/>
          <w:szCs w:val="32"/>
          <w:highlight w:val="none"/>
        </w:rPr>
        <w:t>专班专题会商；协调公安、法院等部门参与预付</w:t>
      </w:r>
      <w:r>
        <w:rPr>
          <w:rFonts w:hint="eastAsia" w:ascii="仿宋_GB2312" w:hAnsi="仿宋_GB2312" w:eastAsia="仿宋_GB2312" w:cs="仿宋_GB2312"/>
          <w:color w:val="auto"/>
          <w:sz w:val="32"/>
          <w:szCs w:val="32"/>
          <w:highlight w:val="none"/>
          <w:lang w:val="en-US" w:eastAsia="zh-CN"/>
        </w:rPr>
        <w:t>式消费纠纷的</w:t>
      </w:r>
      <w:r>
        <w:rPr>
          <w:rFonts w:hint="eastAsia" w:ascii="仿宋_GB2312" w:hAnsi="仿宋_GB2312" w:eastAsia="仿宋_GB2312" w:cs="仿宋_GB2312"/>
          <w:color w:val="auto"/>
          <w:sz w:val="32"/>
          <w:szCs w:val="32"/>
          <w:highlight w:val="none"/>
        </w:rPr>
        <w:t>处置工作，指导督促相关</w:t>
      </w:r>
      <w:r>
        <w:rPr>
          <w:rFonts w:hint="eastAsia" w:ascii="仿宋_GB2312" w:hAnsi="仿宋_GB2312" w:eastAsia="仿宋_GB2312" w:cs="仿宋_GB2312"/>
          <w:color w:val="auto"/>
          <w:sz w:val="32"/>
          <w:szCs w:val="32"/>
          <w:highlight w:val="none"/>
          <w:lang w:val="en-US" w:eastAsia="zh-CN"/>
        </w:rPr>
        <w:t>行业主管</w:t>
      </w:r>
      <w:r>
        <w:rPr>
          <w:rFonts w:hint="eastAsia" w:ascii="仿宋_GB2312" w:hAnsi="仿宋_GB2312" w:eastAsia="仿宋_GB2312" w:cs="仿宋_GB2312"/>
          <w:color w:val="auto"/>
          <w:sz w:val="32"/>
          <w:szCs w:val="32"/>
          <w:highlight w:val="none"/>
        </w:rPr>
        <w:t>部门和属地做好预付</w:t>
      </w:r>
      <w:r>
        <w:rPr>
          <w:rFonts w:hint="eastAsia" w:ascii="仿宋_GB2312" w:hAnsi="仿宋_GB2312" w:eastAsia="仿宋_GB2312" w:cs="仿宋_GB2312"/>
          <w:color w:val="auto"/>
          <w:sz w:val="32"/>
          <w:szCs w:val="32"/>
          <w:highlight w:val="none"/>
          <w:lang w:val="en-US" w:eastAsia="zh-CN"/>
        </w:rPr>
        <w:t>式</w:t>
      </w:r>
      <w:r>
        <w:rPr>
          <w:rFonts w:hint="eastAsia" w:ascii="仿宋_GB2312" w:hAnsi="仿宋_GB2312" w:eastAsia="仿宋_GB2312" w:cs="仿宋_GB2312"/>
          <w:color w:val="auto"/>
          <w:sz w:val="32"/>
          <w:szCs w:val="32"/>
          <w:highlight w:val="none"/>
        </w:rPr>
        <w:t>消费领域重大涉稳案件处置工作。</w:t>
      </w:r>
    </w:p>
    <w:p w14:paraId="26529622">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left"/>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rPr>
        <w:t>区教育局</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负责学科类</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kern w:val="0"/>
          <w:sz w:val="32"/>
          <w:szCs w:val="32"/>
          <w:highlight w:val="none"/>
          <w:lang w:val="en-US" w:eastAsia="zh-CN" w:bidi="ar"/>
        </w:rPr>
        <w:t>学历提升类</w:t>
      </w:r>
      <w:r>
        <w:rPr>
          <w:rFonts w:hint="eastAsia" w:ascii="仿宋_GB2312" w:hAnsi="仿宋_GB2312" w:eastAsia="仿宋_GB2312" w:cs="仿宋_GB2312"/>
          <w:color w:val="auto"/>
          <w:sz w:val="32"/>
          <w:szCs w:val="32"/>
          <w:highlight w:val="none"/>
        </w:rPr>
        <w:t>教育培训机构及相关培训</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教育咨询（含志愿填报）等</w:t>
      </w:r>
      <w:r>
        <w:rPr>
          <w:rFonts w:hint="eastAsia" w:ascii="仿宋_GB2312" w:hAnsi="仿宋_GB2312" w:eastAsia="仿宋_GB2312" w:cs="仿宋_GB2312"/>
          <w:color w:val="auto"/>
          <w:sz w:val="32"/>
          <w:szCs w:val="32"/>
          <w:highlight w:val="none"/>
        </w:rPr>
        <w:t>预付</w:t>
      </w:r>
      <w:r>
        <w:rPr>
          <w:rFonts w:hint="eastAsia" w:ascii="仿宋_GB2312" w:hAnsi="仿宋_GB2312" w:eastAsia="仿宋_GB2312" w:cs="仿宋_GB2312"/>
          <w:color w:val="auto"/>
          <w:sz w:val="32"/>
          <w:szCs w:val="32"/>
          <w:highlight w:val="none"/>
          <w:lang w:val="en-US" w:eastAsia="zh-CN"/>
        </w:rPr>
        <w:t>式</w:t>
      </w:r>
      <w:r>
        <w:rPr>
          <w:rFonts w:hint="eastAsia" w:ascii="仿宋_GB2312" w:hAnsi="仿宋_GB2312" w:eastAsia="仿宋_GB2312" w:cs="仿宋_GB2312"/>
          <w:color w:val="auto"/>
          <w:sz w:val="32"/>
          <w:szCs w:val="32"/>
          <w:highlight w:val="none"/>
        </w:rPr>
        <w:t>消费的</w:t>
      </w:r>
      <w:r>
        <w:rPr>
          <w:rFonts w:hint="eastAsia" w:ascii="仿宋_GB2312" w:hAnsi="仿宋_GB2312" w:eastAsia="仿宋_GB2312" w:cs="仿宋_GB2312"/>
          <w:color w:val="auto"/>
          <w:sz w:val="32"/>
          <w:szCs w:val="32"/>
          <w:highlight w:val="none"/>
          <w:lang w:val="en-US" w:eastAsia="zh-CN"/>
        </w:rPr>
        <w:t>底数摸排、</w:t>
      </w:r>
      <w:r>
        <w:rPr>
          <w:rFonts w:hint="eastAsia" w:ascii="仿宋_GB2312" w:hAnsi="仿宋_GB2312" w:eastAsia="仿宋_GB2312" w:cs="仿宋_GB2312"/>
          <w:color w:val="auto"/>
          <w:sz w:val="32"/>
          <w:szCs w:val="32"/>
          <w:highlight w:val="none"/>
        </w:rPr>
        <w:t>专项整治和调解处置</w:t>
      </w:r>
      <w:r>
        <w:rPr>
          <w:rFonts w:hint="eastAsia" w:ascii="仿宋_GB2312" w:hAnsi="仿宋_GB2312" w:eastAsia="仿宋_GB2312" w:cs="仿宋_GB2312"/>
          <w:color w:val="auto"/>
          <w:sz w:val="32"/>
          <w:szCs w:val="32"/>
          <w:highlight w:val="none"/>
          <w:lang w:eastAsia="zh-CN"/>
        </w:rPr>
        <w:t>。</w:t>
      </w:r>
    </w:p>
    <w:p w14:paraId="6D6F86A2">
      <w:pPr>
        <w:keepNext w:val="0"/>
        <w:keepLines w:val="0"/>
        <w:pageBreakBefore w:val="0"/>
        <w:widowControl w:val="0"/>
        <w:tabs>
          <w:tab w:val="left" w:pos="7449"/>
        </w:tabs>
        <w:kinsoku/>
        <w:wordWrap/>
        <w:overflowPunct/>
        <w:topLinePunct w:val="0"/>
        <w:autoSpaceDE/>
        <w:autoSpaceDN/>
        <w:bidi w:val="0"/>
        <w:adjustRightInd/>
        <w:snapToGrid/>
        <w:spacing w:line="600" w:lineRule="exact"/>
        <w:ind w:left="0" w:leftChars="0" w:firstLine="640" w:firstLineChars="200"/>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eastAsia="zh-CN"/>
        </w:rPr>
        <w:t>区科技局：负责科技</w:t>
      </w:r>
      <w:r>
        <w:rPr>
          <w:rFonts w:hint="eastAsia" w:ascii="仿宋_GB2312" w:hAnsi="仿宋_GB2312" w:eastAsia="仿宋_GB2312" w:cs="仿宋_GB2312"/>
          <w:color w:val="auto"/>
          <w:sz w:val="32"/>
          <w:szCs w:val="32"/>
          <w:highlight w:val="none"/>
        </w:rPr>
        <w:t>类校外培训机构等预付式消费的底数摸排、专项整治和调解处置。</w:t>
      </w:r>
    </w:p>
    <w:p w14:paraId="319541A5">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left"/>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eastAsia="zh-CN"/>
        </w:rPr>
        <w:t>区民政局：负责对</w:t>
      </w:r>
      <w:r>
        <w:rPr>
          <w:rFonts w:hint="eastAsia" w:ascii="仿宋_GB2312" w:hAnsi="仿宋_GB2312" w:eastAsia="仿宋_GB2312" w:cs="仿宋_GB2312"/>
          <w:color w:val="auto"/>
          <w:sz w:val="32"/>
          <w:szCs w:val="32"/>
          <w:highlight w:val="none"/>
          <w:lang w:val="en-US" w:eastAsia="zh-CN"/>
        </w:rPr>
        <w:t>婚介机构、</w:t>
      </w:r>
      <w:r>
        <w:rPr>
          <w:rFonts w:hint="eastAsia" w:ascii="仿宋_GB2312" w:hAnsi="仿宋_GB2312" w:eastAsia="仿宋_GB2312" w:cs="仿宋_GB2312"/>
          <w:color w:val="auto"/>
          <w:sz w:val="32"/>
          <w:szCs w:val="32"/>
          <w:highlight w:val="none"/>
          <w:lang w:eastAsia="zh-CN"/>
        </w:rPr>
        <w:t>养老机构等</w:t>
      </w:r>
      <w:r>
        <w:rPr>
          <w:rFonts w:hint="eastAsia" w:ascii="仿宋_GB2312" w:hAnsi="仿宋_GB2312" w:eastAsia="仿宋_GB2312" w:cs="仿宋_GB2312"/>
          <w:color w:val="auto"/>
          <w:sz w:val="32"/>
          <w:szCs w:val="32"/>
          <w:highlight w:val="none"/>
        </w:rPr>
        <w:t>预付</w:t>
      </w:r>
      <w:r>
        <w:rPr>
          <w:rFonts w:hint="eastAsia" w:ascii="仿宋_GB2312" w:hAnsi="仿宋_GB2312" w:eastAsia="仿宋_GB2312" w:cs="仿宋_GB2312"/>
          <w:color w:val="auto"/>
          <w:sz w:val="32"/>
          <w:szCs w:val="32"/>
          <w:highlight w:val="none"/>
          <w:lang w:val="en-US" w:eastAsia="zh-CN"/>
        </w:rPr>
        <w:t>式</w:t>
      </w:r>
      <w:r>
        <w:rPr>
          <w:rFonts w:hint="eastAsia" w:ascii="仿宋_GB2312" w:hAnsi="仿宋_GB2312" w:eastAsia="仿宋_GB2312" w:cs="仿宋_GB2312"/>
          <w:color w:val="auto"/>
          <w:sz w:val="32"/>
          <w:szCs w:val="32"/>
          <w:highlight w:val="none"/>
        </w:rPr>
        <w:t>消费的</w:t>
      </w:r>
      <w:r>
        <w:rPr>
          <w:rFonts w:hint="eastAsia" w:ascii="仿宋_GB2312" w:hAnsi="仿宋_GB2312" w:eastAsia="仿宋_GB2312" w:cs="仿宋_GB2312"/>
          <w:color w:val="auto"/>
          <w:sz w:val="32"/>
          <w:szCs w:val="32"/>
          <w:highlight w:val="none"/>
          <w:lang w:val="en-US" w:eastAsia="zh-CN"/>
        </w:rPr>
        <w:t>底数摸排、</w:t>
      </w:r>
      <w:r>
        <w:rPr>
          <w:rFonts w:hint="eastAsia" w:ascii="仿宋_GB2312" w:hAnsi="仿宋_GB2312" w:eastAsia="仿宋_GB2312" w:cs="仿宋_GB2312"/>
          <w:color w:val="auto"/>
          <w:sz w:val="32"/>
          <w:szCs w:val="32"/>
          <w:highlight w:val="none"/>
        </w:rPr>
        <w:t>专项整治和调解处置</w:t>
      </w:r>
      <w:r>
        <w:rPr>
          <w:rFonts w:hint="eastAsia" w:ascii="仿宋_GB2312" w:hAnsi="仿宋_GB2312" w:eastAsia="仿宋_GB2312" w:cs="仿宋_GB2312"/>
          <w:color w:val="auto"/>
          <w:sz w:val="32"/>
          <w:szCs w:val="32"/>
          <w:highlight w:val="none"/>
          <w:lang w:eastAsia="zh-CN"/>
        </w:rPr>
        <w:t>。</w:t>
      </w:r>
    </w:p>
    <w:p w14:paraId="09A541AE">
      <w:pPr>
        <w:keepNext w:val="0"/>
        <w:keepLines w:val="0"/>
        <w:pageBreakBefore w:val="0"/>
        <w:widowControl w:val="0"/>
        <w:kinsoku/>
        <w:wordWrap/>
        <w:overflowPunct/>
        <w:topLinePunct w:val="0"/>
        <w:autoSpaceDE/>
        <w:autoSpaceDN/>
        <w:bidi w:val="0"/>
        <w:adjustRightInd/>
        <w:snapToGrid/>
        <w:spacing w:after="0" w:line="600" w:lineRule="exact"/>
        <w:ind w:left="0" w:leftChars="0" w:firstLine="640" w:firstLineChars="200"/>
        <w:jc w:val="both"/>
        <w:textAlignment w:val="auto"/>
        <w:rPr>
          <w:rFonts w:hint="eastAsia" w:ascii="仿宋_GB2312" w:hAnsi="仿宋_GB2312" w:eastAsia="仿宋_GB2312" w:cs="仿宋_GB2312"/>
          <w:color w:val="auto"/>
          <w:kern w:val="0"/>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SA"/>
        </w:rPr>
        <w:t>区司法局：</w:t>
      </w:r>
      <w:r>
        <w:rPr>
          <w:rFonts w:hint="eastAsia" w:ascii="仿宋_GB2312" w:hAnsi="仿宋_GB2312" w:eastAsia="仿宋_GB2312" w:cs="仿宋_GB2312"/>
          <w:color w:val="auto"/>
          <w:kern w:val="0"/>
          <w:sz w:val="32"/>
          <w:szCs w:val="32"/>
          <w:highlight w:val="none"/>
          <w:lang w:val="en-US" w:eastAsia="zh-CN" w:bidi="ar"/>
        </w:rPr>
        <w:t>针对恶意闭店的商家，积极引导群众通过司法途径解决，开展法律援助司法维权工作，设立“为民司法维权”专项资金以便为涉众群体及时开展公益诉讼，指导相关部门制定预付式消费合同文本。</w:t>
      </w:r>
    </w:p>
    <w:p w14:paraId="021CFD91">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区财政局：</w:t>
      </w:r>
      <w:r>
        <w:rPr>
          <w:rFonts w:hint="eastAsia" w:ascii="仿宋_GB2312" w:hAnsi="仿宋_GB2312" w:eastAsia="仿宋_GB2312" w:cs="仿宋_GB2312"/>
          <w:color w:val="auto"/>
          <w:sz w:val="32"/>
          <w:szCs w:val="32"/>
          <w:highlight w:val="none"/>
        </w:rPr>
        <w:t>负责督促有关</w:t>
      </w:r>
      <w:r>
        <w:rPr>
          <w:rFonts w:hint="eastAsia" w:ascii="仿宋_GB2312" w:hAnsi="仿宋_GB2312" w:eastAsia="仿宋_GB2312" w:cs="仿宋_GB2312"/>
          <w:color w:val="auto"/>
          <w:sz w:val="32"/>
          <w:szCs w:val="32"/>
          <w:highlight w:val="none"/>
          <w:lang w:val="en-US" w:eastAsia="zh-CN"/>
        </w:rPr>
        <w:t>行业</w:t>
      </w:r>
      <w:r>
        <w:rPr>
          <w:rFonts w:hint="eastAsia" w:ascii="仿宋_GB2312" w:hAnsi="仿宋_GB2312" w:eastAsia="仿宋_GB2312" w:cs="仿宋_GB2312"/>
          <w:color w:val="auto"/>
          <w:sz w:val="32"/>
          <w:szCs w:val="32"/>
          <w:highlight w:val="none"/>
        </w:rPr>
        <w:t>主管部门对预付</w:t>
      </w:r>
      <w:r>
        <w:rPr>
          <w:rFonts w:hint="eastAsia" w:ascii="仿宋_GB2312" w:hAnsi="仿宋_GB2312" w:eastAsia="仿宋_GB2312" w:cs="仿宋_GB2312"/>
          <w:color w:val="auto"/>
          <w:sz w:val="32"/>
          <w:szCs w:val="32"/>
          <w:highlight w:val="none"/>
          <w:lang w:val="en-US" w:eastAsia="zh-CN"/>
        </w:rPr>
        <w:t>式</w:t>
      </w:r>
      <w:r>
        <w:rPr>
          <w:rFonts w:hint="eastAsia" w:ascii="仿宋_GB2312" w:hAnsi="仿宋_GB2312" w:eastAsia="仿宋_GB2312" w:cs="仿宋_GB2312"/>
          <w:color w:val="auto"/>
          <w:sz w:val="32"/>
          <w:szCs w:val="32"/>
          <w:highlight w:val="none"/>
        </w:rPr>
        <w:t>消费</w:t>
      </w:r>
      <w:r>
        <w:rPr>
          <w:rFonts w:hint="eastAsia" w:ascii="仿宋_GB2312" w:hAnsi="仿宋_GB2312" w:eastAsia="仿宋_GB2312" w:cs="仿宋_GB2312"/>
          <w:color w:val="auto"/>
          <w:sz w:val="32"/>
          <w:szCs w:val="32"/>
          <w:highlight w:val="none"/>
          <w:lang w:val="en-US" w:eastAsia="zh-CN"/>
        </w:rPr>
        <w:t>中</w:t>
      </w:r>
      <w:r>
        <w:rPr>
          <w:rFonts w:hint="eastAsia" w:ascii="仿宋_GB2312" w:hAnsi="仿宋_GB2312" w:eastAsia="仿宋_GB2312" w:cs="仿宋_GB2312"/>
          <w:color w:val="auto"/>
          <w:sz w:val="32"/>
          <w:szCs w:val="32"/>
          <w:highlight w:val="none"/>
        </w:rPr>
        <w:t>可能存在的非法集资的监测预警、排查整治及防范宣传工作。</w:t>
      </w:r>
    </w:p>
    <w:p w14:paraId="1E41B99E">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eastAsia="zh-CN"/>
        </w:rPr>
        <w:t>区人社局：负责民办职业培训</w:t>
      </w:r>
      <w:r>
        <w:rPr>
          <w:rFonts w:hint="eastAsia" w:ascii="仿宋_GB2312" w:hAnsi="仿宋_GB2312" w:eastAsia="仿宋_GB2312" w:cs="仿宋_GB2312"/>
          <w:color w:val="auto"/>
          <w:sz w:val="32"/>
          <w:szCs w:val="32"/>
          <w:highlight w:val="none"/>
        </w:rPr>
        <w:t>等预付</w:t>
      </w:r>
      <w:r>
        <w:rPr>
          <w:rFonts w:hint="eastAsia" w:ascii="仿宋_GB2312" w:hAnsi="仿宋_GB2312" w:eastAsia="仿宋_GB2312" w:cs="仿宋_GB2312"/>
          <w:color w:val="auto"/>
          <w:sz w:val="32"/>
          <w:szCs w:val="32"/>
          <w:highlight w:val="none"/>
          <w:lang w:val="en-US" w:eastAsia="zh-CN"/>
        </w:rPr>
        <w:t>式</w:t>
      </w:r>
      <w:r>
        <w:rPr>
          <w:rFonts w:hint="eastAsia" w:ascii="仿宋_GB2312" w:hAnsi="仿宋_GB2312" w:eastAsia="仿宋_GB2312" w:cs="仿宋_GB2312"/>
          <w:color w:val="auto"/>
          <w:sz w:val="32"/>
          <w:szCs w:val="32"/>
          <w:highlight w:val="none"/>
        </w:rPr>
        <w:t>消费的</w:t>
      </w:r>
      <w:r>
        <w:rPr>
          <w:rFonts w:hint="eastAsia" w:ascii="仿宋_GB2312" w:hAnsi="仿宋_GB2312" w:eastAsia="仿宋_GB2312" w:cs="仿宋_GB2312"/>
          <w:color w:val="auto"/>
          <w:sz w:val="32"/>
          <w:szCs w:val="32"/>
          <w:highlight w:val="none"/>
          <w:lang w:val="en-US" w:eastAsia="zh-CN"/>
        </w:rPr>
        <w:t>底数摸排、</w:t>
      </w:r>
      <w:r>
        <w:rPr>
          <w:rFonts w:hint="eastAsia" w:ascii="仿宋_GB2312" w:hAnsi="仿宋_GB2312" w:eastAsia="仿宋_GB2312" w:cs="仿宋_GB2312"/>
          <w:color w:val="auto"/>
          <w:sz w:val="32"/>
          <w:szCs w:val="32"/>
          <w:highlight w:val="none"/>
        </w:rPr>
        <w:t>专项整治和调解处置</w:t>
      </w:r>
      <w:r>
        <w:rPr>
          <w:rFonts w:hint="eastAsia" w:ascii="仿宋_GB2312" w:hAnsi="仿宋_GB2312" w:eastAsia="仿宋_GB2312" w:cs="仿宋_GB2312"/>
          <w:color w:val="auto"/>
          <w:sz w:val="32"/>
          <w:szCs w:val="32"/>
          <w:highlight w:val="none"/>
          <w:lang w:eastAsia="zh-CN"/>
        </w:rPr>
        <w:t>。</w:t>
      </w:r>
    </w:p>
    <w:p w14:paraId="55B494A7">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left"/>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rPr>
        <w:t>区</w:t>
      </w:r>
      <w:r>
        <w:rPr>
          <w:rFonts w:hint="eastAsia" w:ascii="仿宋_GB2312" w:hAnsi="仿宋_GB2312" w:eastAsia="仿宋_GB2312" w:cs="仿宋_GB2312"/>
          <w:color w:val="auto"/>
          <w:sz w:val="32"/>
          <w:szCs w:val="32"/>
          <w:highlight w:val="none"/>
          <w:lang w:val="en-US" w:eastAsia="zh-CN"/>
        </w:rPr>
        <w:t>住交</w:t>
      </w:r>
      <w:r>
        <w:rPr>
          <w:rFonts w:hint="eastAsia" w:ascii="仿宋_GB2312" w:hAnsi="仿宋_GB2312" w:eastAsia="仿宋_GB2312" w:cs="仿宋_GB2312"/>
          <w:color w:val="auto"/>
          <w:sz w:val="32"/>
          <w:szCs w:val="32"/>
          <w:highlight w:val="none"/>
        </w:rPr>
        <w:t>局</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负责对</w:t>
      </w:r>
      <w:r>
        <w:rPr>
          <w:rFonts w:hint="eastAsia" w:ascii="仿宋_GB2312" w:hAnsi="仿宋_GB2312" w:eastAsia="仿宋_GB2312" w:cs="仿宋_GB2312"/>
          <w:i w:val="0"/>
          <w:iCs w:val="0"/>
          <w:caps w:val="0"/>
          <w:color w:val="auto"/>
          <w:spacing w:val="0"/>
          <w:sz w:val="32"/>
          <w:szCs w:val="32"/>
          <w:highlight w:val="none"/>
          <w:shd w:val="clear" w:color="auto" w:fill="FFFFFF"/>
        </w:rPr>
        <w:t>机动车维修</w:t>
      </w:r>
      <w:r>
        <w:rPr>
          <w:rFonts w:hint="eastAsia" w:ascii="仿宋_GB2312" w:hAnsi="仿宋_GB2312" w:eastAsia="仿宋_GB2312" w:cs="仿宋_GB2312"/>
          <w:i w:val="0"/>
          <w:iCs w:val="0"/>
          <w:caps w:val="0"/>
          <w:color w:val="auto"/>
          <w:spacing w:val="0"/>
          <w:sz w:val="32"/>
          <w:szCs w:val="32"/>
          <w:highlight w:val="none"/>
          <w:shd w:val="clear" w:color="auto" w:fill="FFFFFF"/>
          <w:lang w:val="en-US" w:eastAsia="zh-CN"/>
        </w:rPr>
        <w:t>租赁</w:t>
      </w:r>
      <w:r>
        <w:rPr>
          <w:rFonts w:hint="eastAsia" w:ascii="仿宋_GB2312" w:hAnsi="仿宋_GB2312" w:eastAsia="仿宋_GB2312" w:cs="仿宋_GB2312"/>
          <w:i w:val="0"/>
          <w:iCs w:val="0"/>
          <w:caps w:val="0"/>
          <w:color w:val="auto"/>
          <w:spacing w:val="0"/>
          <w:sz w:val="32"/>
          <w:szCs w:val="32"/>
          <w:highlight w:val="none"/>
          <w:shd w:val="clear" w:color="auto" w:fill="FFFFFF"/>
        </w:rPr>
        <w:t>经营</w:t>
      </w:r>
      <w:r>
        <w:rPr>
          <w:rFonts w:hint="eastAsia" w:ascii="仿宋_GB2312" w:hAnsi="仿宋_GB2312" w:eastAsia="仿宋_GB2312" w:cs="仿宋_GB2312"/>
          <w:i w:val="0"/>
          <w:iCs w:val="0"/>
          <w:caps w:val="0"/>
          <w:color w:val="auto"/>
          <w:spacing w:val="0"/>
          <w:sz w:val="32"/>
          <w:szCs w:val="32"/>
          <w:highlight w:val="none"/>
          <w:shd w:val="clear" w:color="auto" w:fill="FFFFFF"/>
          <w:lang w:eastAsia="zh-CN"/>
        </w:rPr>
        <w:t>（</w:t>
      </w:r>
      <w:r>
        <w:rPr>
          <w:rFonts w:hint="eastAsia" w:ascii="仿宋_GB2312" w:hAnsi="仿宋_GB2312" w:eastAsia="仿宋_GB2312" w:cs="仿宋_GB2312"/>
          <w:i w:val="0"/>
          <w:iCs w:val="0"/>
          <w:caps w:val="0"/>
          <w:color w:val="auto"/>
          <w:spacing w:val="0"/>
          <w:sz w:val="32"/>
          <w:szCs w:val="32"/>
          <w:highlight w:val="none"/>
          <w:shd w:val="clear" w:color="auto" w:fill="FFFFFF"/>
          <w:lang w:val="en-US" w:eastAsia="zh-CN"/>
        </w:rPr>
        <w:t>含汽车美容</w:t>
      </w:r>
      <w:r>
        <w:rPr>
          <w:rFonts w:hint="eastAsia" w:ascii="仿宋_GB2312" w:hAnsi="仿宋_GB2312" w:eastAsia="仿宋_GB2312" w:cs="仿宋_GB2312"/>
          <w:i w:val="0"/>
          <w:iCs w:val="0"/>
          <w:caps w:val="0"/>
          <w:color w:val="auto"/>
          <w:spacing w:val="0"/>
          <w:sz w:val="32"/>
          <w:szCs w:val="32"/>
          <w:highlight w:val="none"/>
          <w:shd w:val="clear" w:color="auto" w:fill="FFFFFF"/>
          <w:lang w:eastAsia="zh-CN"/>
        </w:rPr>
        <w:t>）</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装饰装修、物业</w:t>
      </w:r>
      <w:r>
        <w:rPr>
          <w:rFonts w:hint="eastAsia" w:ascii="仿宋_GB2312" w:hAnsi="仿宋_GB2312" w:eastAsia="仿宋_GB2312" w:cs="仿宋_GB2312"/>
          <w:color w:val="auto"/>
          <w:sz w:val="32"/>
          <w:szCs w:val="32"/>
          <w:highlight w:val="none"/>
        </w:rPr>
        <w:t>等预付</w:t>
      </w:r>
      <w:r>
        <w:rPr>
          <w:rFonts w:hint="eastAsia" w:ascii="仿宋_GB2312" w:hAnsi="仿宋_GB2312" w:eastAsia="仿宋_GB2312" w:cs="仿宋_GB2312"/>
          <w:color w:val="auto"/>
          <w:sz w:val="32"/>
          <w:szCs w:val="32"/>
          <w:highlight w:val="none"/>
          <w:lang w:val="en-US" w:eastAsia="zh-CN"/>
        </w:rPr>
        <w:t>式</w:t>
      </w:r>
      <w:r>
        <w:rPr>
          <w:rFonts w:hint="eastAsia" w:ascii="仿宋_GB2312" w:hAnsi="仿宋_GB2312" w:eastAsia="仿宋_GB2312" w:cs="仿宋_GB2312"/>
          <w:color w:val="auto"/>
          <w:sz w:val="32"/>
          <w:szCs w:val="32"/>
          <w:highlight w:val="none"/>
        </w:rPr>
        <w:t>消费的</w:t>
      </w:r>
      <w:r>
        <w:rPr>
          <w:rFonts w:hint="eastAsia" w:ascii="仿宋_GB2312" w:hAnsi="仿宋_GB2312" w:eastAsia="仿宋_GB2312" w:cs="仿宋_GB2312"/>
          <w:color w:val="auto"/>
          <w:sz w:val="32"/>
          <w:szCs w:val="32"/>
          <w:highlight w:val="none"/>
          <w:lang w:val="en-US" w:eastAsia="zh-CN"/>
        </w:rPr>
        <w:t>底数摸排、</w:t>
      </w:r>
      <w:r>
        <w:rPr>
          <w:rFonts w:hint="eastAsia" w:ascii="仿宋_GB2312" w:hAnsi="仿宋_GB2312" w:eastAsia="仿宋_GB2312" w:cs="仿宋_GB2312"/>
          <w:color w:val="auto"/>
          <w:sz w:val="32"/>
          <w:szCs w:val="32"/>
          <w:highlight w:val="none"/>
        </w:rPr>
        <w:t>专项整治和调解处置</w:t>
      </w:r>
      <w:r>
        <w:rPr>
          <w:rFonts w:hint="eastAsia" w:ascii="仿宋_GB2312" w:hAnsi="仿宋_GB2312" w:eastAsia="仿宋_GB2312" w:cs="仿宋_GB2312"/>
          <w:color w:val="auto"/>
          <w:sz w:val="32"/>
          <w:szCs w:val="32"/>
          <w:highlight w:val="none"/>
          <w:lang w:eastAsia="zh-CN"/>
        </w:rPr>
        <w:t>。</w:t>
      </w:r>
    </w:p>
    <w:p w14:paraId="630D25BA">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left"/>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eastAsia="zh-CN"/>
        </w:rPr>
        <w:t>区农业农村局：负责宠物医疗机构、宠物店及兽类相关服务机构</w:t>
      </w:r>
      <w:r>
        <w:rPr>
          <w:rFonts w:hint="eastAsia" w:ascii="仿宋_GB2312" w:hAnsi="仿宋_GB2312" w:eastAsia="仿宋_GB2312" w:cs="仿宋_GB2312"/>
          <w:color w:val="auto"/>
          <w:sz w:val="32"/>
          <w:szCs w:val="32"/>
          <w:highlight w:val="none"/>
        </w:rPr>
        <w:t>等预付</w:t>
      </w:r>
      <w:r>
        <w:rPr>
          <w:rFonts w:hint="eastAsia" w:ascii="仿宋_GB2312" w:hAnsi="仿宋_GB2312" w:eastAsia="仿宋_GB2312" w:cs="仿宋_GB2312"/>
          <w:color w:val="auto"/>
          <w:sz w:val="32"/>
          <w:szCs w:val="32"/>
          <w:highlight w:val="none"/>
          <w:lang w:val="en-US" w:eastAsia="zh-CN"/>
        </w:rPr>
        <w:t>式</w:t>
      </w:r>
      <w:r>
        <w:rPr>
          <w:rFonts w:hint="eastAsia" w:ascii="仿宋_GB2312" w:hAnsi="仿宋_GB2312" w:eastAsia="仿宋_GB2312" w:cs="仿宋_GB2312"/>
          <w:color w:val="auto"/>
          <w:sz w:val="32"/>
          <w:szCs w:val="32"/>
          <w:highlight w:val="none"/>
        </w:rPr>
        <w:t>消费的</w:t>
      </w:r>
      <w:r>
        <w:rPr>
          <w:rFonts w:hint="eastAsia" w:ascii="仿宋_GB2312" w:hAnsi="仿宋_GB2312" w:eastAsia="仿宋_GB2312" w:cs="仿宋_GB2312"/>
          <w:color w:val="auto"/>
          <w:sz w:val="32"/>
          <w:szCs w:val="32"/>
          <w:highlight w:val="none"/>
          <w:lang w:val="en-US" w:eastAsia="zh-CN"/>
        </w:rPr>
        <w:t>底数摸排、</w:t>
      </w:r>
      <w:r>
        <w:rPr>
          <w:rFonts w:hint="eastAsia" w:ascii="仿宋_GB2312" w:hAnsi="仿宋_GB2312" w:eastAsia="仿宋_GB2312" w:cs="仿宋_GB2312"/>
          <w:color w:val="auto"/>
          <w:sz w:val="32"/>
          <w:szCs w:val="32"/>
          <w:highlight w:val="none"/>
        </w:rPr>
        <w:t>专项整治和调解处置</w:t>
      </w:r>
      <w:r>
        <w:rPr>
          <w:rFonts w:hint="eastAsia" w:ascii="仿宋_GB2312" w:hAnsi="仿宋_GB2312" w:eastAsia="仿宋_GB2312" w:cs="仿宋_GB2312"/>
          <w:color w:val="auto"/>
          <w:sz w:val="32"/>
          <w:szCs w:val="32"/>
          <w:highlight w:val="none"/>
          <w:lang w:eastAsia="zh-CN"/>
        </w:rPr>
        <w:t>。</w:t>
      </w:r>
    </w:p>
    <w:p w14:paraId="17076533">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left"/>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rPr>
        <w:t>区</w:t>
      </w:r>
      <w:r>
        <w:rPr>
          <w:rFonts w:hint="eastAsia" w:ascii="仿宋_GB2312" w:hAnsi="仿宋_GB2312" w:eastAsia="仿宋_GB2312" w:cs="仿宋_GB2312"/>
          <w:color w:val="auto"/>
          <w:sz w:val="32"/>
          <w:szCs w:val="32"/>
          <w:highlight w:val="none"/>
          <w:lang w:val="en-US" w:eastAsia="zh-CN"/>
        </w:rPr>
        <w:t>文旅</w:t>
      </w:r>
      <w:r>
        <w:rPr>
          <w:rFonts w:hint="eastAsia" w:ascii="仿宋_GB2312" w:hAnsi="仿宋_GB2312" w:eastAsia="仿宋_GB2312" w:cs="仿宋_GB2312"/>
          <w:color w:val="auto"/>
          <w:sz w:val="32"/>
          <w:szCs w:val="32"/>
          <w:highlight w:val="none"/>
        </w:rPr>
        <w:t>体局</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负责对</w:t>
      </w:r>
      <w:r>
        <w:rPr>
          <w:rFonts w:hint="eastAsia" w:ascii="仿宋_GB2312" w:hAnsi="仿宋_GB2312" w:eastAsia="仿宋_GB2312" w:cs="仿宋_GB2312"/>
          <w:color w:val="auto"/>
          <w:sz w:val="32"/>
          <w:szCs w:val="32"/>
          <w:highlight w:val="none"/>
          <w:lang w:val="en-US" w:eastAsia="zh-CN"/>
        </w:rPr>
        <w:t>文化广播、</w:t>
      </w:r>
      <w:r>
        <w:rPr>
          <w:rFonts w:hint="eastAsia" w:ascii="仿宋_GB2312" w:hAnsi="仿宋_GB2312" w:eastAsia="仿宋_GB2312" w:cs="仿宋_GB2312"/>
          <w:color w:val="auto"/>
          <w:sz w:val="32"/>
          <w:szCs w:val="32"/>
          <w:highlight w:val="none"/>
        </w:rPr>
        <w:t>娱乐场所、体育健身</w:t>
      </w:r>
      <w:r>
        <w:rPr>
          <w:rFonts w:hint="eastAsia" w:ascii="仿宋_GB2312" w:hAnsi="仿宋_GB2312" w:eastAsia="仿宋_GB2312" w:cs="仿宋_GB2312"/>
          <w:color w:val="auto"/>
          <w:kern w:val="0"/>
          <w:sz w:val="32"/>
          <w:szCs w:val="32"/>
          <w:highlight w:val="none"/>
          <w:lang w:val="en-US" w:eastAsia="zh-CN" w:bidi="ar"/>
        </w:rPr>
        <w:t>（含健身房、瑜伽馆、游泳馆等）</w:t>
      </w:r>
      <w:r>
        <w:rPr>
          <w:rFonts w:hint="eastAsia" w:ascii="仿宋_GB2312" w:hAnsi="仿宋_GB2312" w:eastAsia="仿宋_GB2312" w:cs="仿宋_GB2312"/>
          <w:color w:val="auto"/>
          <w:sz w:val="32"/>
          <w:szCs w:val="32"/>
          <w:highlight w:val="none"/>
        </w:rPr>
        <w:t>、网吧、</w:t>
      </w:r>
      <w:r>
        <w:rPr>
          <w:rFonts w:hint="eastAsia" w:ascii="仿宋_GB2312" w:hAnsi="仿宋_GB2312" w:eastAsia="仿宋_GB2312" w:cs="仿宋_GB2312"/>
          <w:color w:val="auto"/>
          <w:kern w:val="0"/>
          <w:sz w:val="32"/>
          <w:szCs w:val="32"/>
          <w:highlight w:val="none"/>
          <w:lang w:val="en-US" w:eastAsia="zh-CN" w:bidi="ar"/>
        </w:rPr>
        <w:t>文化旅游市场、</w:t>
      </w:r>
      <w:r>
        <w:rPr>
          <w:rFonts w:hint="eastAsia" w:ascii="仿宋_GB2312" w:hAnsi="仿宋_GB2312" w:eastAsia="仿宋_GB2312" w:cs="仿宋_GB2312"/>
          <w:color w:val="auto"/>
          <w:sz w:val="32"/>
          <w:szCs w:val="32"/>
          <w:highlight w:val="none"/>
          <w:lang w:val="en-US" w:eastAsia="zh-CN"/>
        </w:rPr>
        <w:t>星级酒店、</w:t>
      </w:r>
      <w:r>
        <w:rPr>
          <w:rFonts w:hint="eastAsia" w:ascii="仿宋_GB2312" w:hAnsi="仿宋_GB2312" w:eastAsia="仿宋_GB2312" w:cs="仿宋_GB2312"/>
          <w:color w:val="auto"/>
          <w:kern w:val="0"/>
          <w:sz w:val="32"/>
          <w:szCs w:val="32"/>
          <w:highlight w:val="none"/>
          <w:lang w:val="en-US" w:eastAsia="zh-CN" w:bidi="ar"/>
        </w:rPr>
        <w:t>文化艺术类和体育类校外培训机构</w:t>
      </w:r>
      <w:r>
        <w:rPr>
          <w:rFonts w:hint="eastAsia" w:ascii="仿宋_GB2312" w:hAnsi="仿宋_GB2312" w:eastAsia="仿宋_GB2312" w:cs="仿宋_GB2312"/>
          <w:color w:val="auto"/>
          <w:sz w:val="32"/>
          <w:szCs w:val="32"/>
          <w:highlight w:val="none"/>
        </w:rPr>
        <w:t>等预付</w:t>
      </w:r>
      <w:r>
        <w:rPr>
          <w:rFonts w:hint="eastAsia" w:ascii="仿宋_GB2312" w:hAnsi="仿宋_GB2312" w:eastAsia="仿宋_GB2312" w:cs="仿宋_GB2312"/>
          <w:color w:val="auto"/>
          <w:sz w:val="32"/>
          <w:szCs w:val="32"/>
          <w:highlight w:val="none"/>
          <w:lang w:val="en-US" w:eastAsia="zh-CN"/>
        </w:rPr>
        <w:t>式</w:t>
      </w:r>
      <w:r>
        <w:rPr>
          <w:rFonts w:hint="eastAsia" w:ascii="仿宋_GB2312" w:hAnsi="仿宋_GB2312" w:eastAsia="仿宋_GB2312" w:cs="仿宋_GB2312"/>
          <w:color w:val="auto"/>
          <w:sz w:val="32"/>
          <w:szCs w:val="32"/>
          <w:highlight w:val="none"/>
        </w:rPr>
        <w:t>消费的</w:t>
      </w:r>
      <w:r>
        <w:rPr>
          <w:rFonts w:hint="eastAsia" w:ascii="仿宋_GB2312" w:hAnsi="仿宋_GB2312" w:eastAsia="仿宋_GB2312" w:cs="仿宋_GB2312"/>
          <w:color w:val="auto"/>
          <w:sz w:val="32"/>
          <w:szCs w:val="32"/>
          <w:highlight w:val="none"/>
          <w:lang w:val="en-US" w:eastAsia="zh-CN"/>
        </w:rPr>
        <w:t>底数摸排、</w:t>
      </w:r>
      <w:r>
        <w:rPr>
          <w:rFonts w:hint="eastAsia" w:ascii="仿宋_GB2312" w:hAnsi="仿宋_GB2312" w:eastAsia="仿宋_GB2312" w:cs="仿宋_GB2312"/>
          <w:color w:val="auto"/>
          <w:sz w:val="32"/>
          <w:szCs w:val="32"/>
          <w:highlight w:val="none"/>
        </w:rPr>
        <w:t>专项整治和调解处置</w:t>
      </w:r>
      <w:r>
        <w:rPr>
          <w:rFonts w:hint="eastAsia" w:ascii="仿宋_GB2312" w:hAnsi="仿宋_GB2312" w:eastAsia="仿宋_GB2312" w:cs="仿宋_GB2312"/>
          <w:color w:val="auto"/>
          <w:sz w:val="32"/>
          <w:szCs w:val="32"/>
          <w:highlight w:val="none"/>
          <w:lang w:eastAsia="zh-CN"/>
        </w:rPr>
        <w:t>。</w:t>
      </w:r>
    </w:p>
    <w:p w14:paraId="01AD7914">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区卫健委</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负责对</w:t>
      </w:r>
      <w:r>
        <w:rPr>
          <w:rFonts w:hint="eastAsia" w:ascii="仿宋_GB2312" w:hAnsi="仿宋_GB2312" w:eastAsia="仿宋_GB2312" w:cs="仿宋_GB2312"/>
          <w:color w:val="auto"/>
          <w:kern w:val="0"/>
          <w:sz w:val="32"/>
          <w:szCs w:val="32"/>
          <w:highlight w:val="none"/>
          <w:lang w:val="en-US" w:eastAsia="zh-CN" w:bidi="ar"/>
        </w:rPr>
        <w:t>托育机构（含婴幼儿相关服务机构）、医疗机构、体检机构、医美机构、母婴保健、健康养生（含SPA、中医理疗、足浴、推拿按摩）</w:t>
      </w:r>
      <w:r>
        <w:rPr>
          <w:rFonts w:hint="eastAsia" w:ascii="仿宋_GB2312" w:hAnsi="仿宋_GB2312" w:eastAsia="仿宋_GB2312" w:cs="仿宋_GB2312"/>
          <w:color w:val="auto"/>
          <w:sz w:val="32"/>
          <w:szCs w:val="32"/>
          <w:highlight w:val="none"/>
        </w:rPr>
        <w:t>等预付</w:t>
      </w:r>
      <w:r>
        <w:rPr>
          <w:rFonts w:hint="eastAsia" w:ascii="仿宋_GB2312" w:hAnsi="仿宋_GB2312" w:eastAsia="仿宋_GB2312" w:cs="仿宋_GB2312"/>
          <w:color w:val="auto"/>
          <w:sz w:val="32"/>
          <w:szCs w:val="32"/>
          <w:highlight w:val="none"/>
          <w:lang w:val="en-US" w:eastAsia="zh-CN"/>
        </w:rPr>
        <w:t>式</w:t>
      </w:r>
      <w:r>
        <w:rPr>
          <w:rFonts w:hint="eastAsia" w:ascii="仿宋_GB2312" w:hAnsi="仿宋_GB2312" w:eastAsia="仿宋_GB2312" w:cs="仿宋_GB2312"/>
          <w:color w:val="auto"/>
          <w:sz w:val="32"/>
          <w:szCs w:val="32"/>
          <w:highlight w:val="none"/>
        </w:rPr>
        <w:t>消费的</w:t>
      </w:r>
      <w:r>
        <w:rPr>
          <w:rFonts w:hint="eastAsia" w:ascii="仿宋_GB2312" w:hAnsi="仿宋_GB2312" w:eastAsia="仿宋_GB2312" w:cs="仿宋_GB2312"/>
          <w:color w:val="auto"/>
          <w:sz w:val="32"/>
          <w:szCs w:val="32"/>
          <w:highlight w:val="none"/>
          <w:lang w:val="en-US" w:eastAsia="zh-CN"/>
        </w:rPr>
        <w:t>底数摸排、</w:t>
      </w:r>
      <w:r>
        <w:rPr>
          <w:rFonts w:hint="eastAsia" w:ascii="仿宋_GB2312" w:hAnsi="仿宋_GB2312" w:eastAsia="仿宋_GB2312" w:cs="仿宋_GB2312"/>
          <w:color w:val="auto"/>
          <w:sz w:val="32"/>
          <w:szCs w:val="32"/>
          <w:highlight w:val="none"/>
        </w:rPr>
        <w:t>专项整治和调解处置</w:t>
      </w:r>
      <w:r>
        <w:rPr>
          <w:rFonts w:hint="eastAsia" w:ascii="仿宋_GB2312" w:hAnsi="仿宋_GB2312" w:eastAsia="仿宋_GB2312" w:cs="仿宋_GB2312"/>
          <w:color w:val="auto"/>
          <w:sz w:val="32"/>
          <w:szCs w:val="32"/>
          <w:highlight w:val="none"/>
          <w:lang w:eastAsia="zh-CN"/>
        </w:rPr>
        <w:t>。</w:t>
      </w:r>
    </w:p>
    <w:p w14:paraId="1B50C705">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区信访局</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负责来自信访渠道的预付</w:t>
      </w:r>
      <w:r>
        <w:rPr>
          <w:rFonts w:hint="eastAsia" w:ascii="仿宋_GB2312" w:hAnsi="仿宋_GB2312" w:eastAsia="仿宋_GB2312" w:cs="仿宋_GB2312"/>
          <w:color w:val="auto"/>
          <w:sz w:val="32"/>
          <w:szCs w:val="32"/>
          <w:highlight w:val="none"/>
          <w:lang w:val="en-US" w:eastAsia="zh-CN"/>
        </w:rPr>
        <w:t>式</w:t>
      </w:r>
      <w:r>
        <w:rPr>
          <w:rFonts w:hint="eastAsia" w:ascii="仿宋_GB2312" w:hAnsi="仿宋_GB2312" w:eastAsia="仿宋_GB2312" w:cs="仿宋_GB2312"/>
          <w:color w:val="auto"/>
          <w:sz w:val="32"/>
          <w:szCs w:val="32"/>
          <w:highlight w:val="none"/>
        </w:rPr>
        <w:t>消费</w:t>
      </w:r>
      <w:r>
        <w:rPr>
          <w:rFonts w:hint="eastAsia" w:ascii="仿宋_GB2312" w:hAnsi="仿宋_GB2312" w:eastAsia="仿宋_GB2312" w:cs="仿宋_GB2312"/>
          <w:color w:val="auto"/>
          <w:sz w:val="32"/>
          <w:szCs w:val="32"/>
          <w:highlight w:val="none"/>
          <w:lang w:val="en-US" w:eastAsia="zh-CN"/>
        </w:rPr>
        <w:t>纠纷</w:t>
      </w:r>
      <w:r>
        <w:rPr>
          <w:rFonts w:hint="eastAsia" w:ascii="仿宋_GB2312" w:hAnsi="仿宋_GB2312" w:eastAsia="仿宋_GB2312" w:cs="仿宋_GB2312"/>
          <w:color w:val="auto"/>
          <w:sz w:val="32"/>
          <w:szCs w:val="32"/>
          <w:highlight w:val="none"/>
        </w:rPr>
        <w:t>的分流处置，定期梳理预付</w:t>
      </w:r>
      <w:r>
        <w:rPr>
          <w:rFonts w:hint="eastAsia" w:ascii="仿宋_GB2312" w:hAnsi="仿宋_GB2312" w:eastAsia="仿宋_GB2312" w:cs="仿宋_GB2312"/>
          <w:color w:val="auto"/>
          <w:sz w:val="32"/>
          <w:szCs w:val="32"/>
          <w:highlight w:val="none"/>
          <w:lang w:val="en-US" w:eastAsia="zh-CN"/>
        </w:rPr>
        <w:t>式</w:t>
      </w:r>
      <w:r>
        <w:rPr>
          <w:rFonts w:hint="eastAsia" w:ascii="仿宋_GB2312" w:hAnsi="仿宋_GB2312" w:eastAsia="仿宋_GB2312" w:cs="仿宋_GB2312"/>
          <w:color w:val="auto"/>
          <w:sz w:val="32"/>
          <w:szCs w:val="32"/>
          <w:highlight w:val="none"/>
        </w:rPr>
        <w:t>消费</w:t>
      </w:r>
      <w:r>
        <w:rPr>
          <w:rFonts w:hint="eastAsia" w:ascii="仿宋_GB2312" w:hAnsi="仿宋_GB2312" w:eastAsia="仿宋_GB2312" w:cs="仿宋_GB2312"/>
          <w:color w:val="auto"/>
          <w:sz w:val="32"/>
          <w:szCs w:val="32"/>
          <w:highlight w:val="none"/>
          <w:lang w:val="en-US" w:eastAsia="zh-CN"/>
        </w:rPr>
        <w:t>纠纷</w:t>
      </w:r>
      <w:r>
        <w:rPr>
          <w:rFonts w:hint="eastAsia" w:ascii="仿宋_GB2312" w:hAnsi="仿宋_GB2312" w:eastAsia="仿宋_GB2312" w:cs="仿宋_GB2312"/>
          <w:color w:val="auto"/>
          <w:sz w:val="32"/>
          <w:szCs w:val="32"/>
          <w:highlight w:val="none"/>
        </w:rPr>
        <w:t>数据，</w:t>
      </w:r>
      <w:r>
        <w:rPr>
          <w:rFonts w:hint="eastAsia" w:ascii="仿宋_GB2312" w:hAnsi="仿宋_GB2312" w:eastAsia="仿宋_GB2312" w:cs="仿宋_GB2312"/>
          <w:color w:val="auto"/>
          <w:sz w:val="32"/>
          <w:szCs w:val="32"/>
          <w:highlight w:val="none"/>
          <w:lang w:val="en-US" w:eastAsia="zh-CN"/>
        </w:rPr>
        <w:t>向相关部门推送预警提示，适时</w:t>
      </w:r>
      <w:r>
        <w:rPr>
          <w:rFonts w:hint="eastAsia" w:ascii="仿宋_GB2312" w:hAnsi="仿宋_GB2312" w:eastAsia="仿宋_GB2312" w:cs="仿宋_GB2312"/>
          <w:color w:val="auto"/>
          <w:sz w:val="32"/>
          <w:szCs w:val="32"/>
          <w:highlight w:val="none"/>
        </w:rPr>
        <w:t>提交会议专题会商；做好预付消费领域接访处置。</w:t>
      </w:r>
    </w:p>
    <w:p w14:paraId="04DBEDA6">
      <w:pPr>
        <w:keepNext w:val="0"/>
        <w:keepLines w:val="0"/>
        <w:pageBreakBefore w:val="0"/>
        <w:widowControl w:val="0"/>
        <w:kinsoku/>
        <w:wordWrap/>
        <w:overflowPunct/>
        <w:topLinePunct w:val="0"/>
        <w:autoSpaceDE/>
        <w:autoSpaceDN/>
        <w:bidi w:val="0"/>
        <w:adjustRightInd/>
        <w:snapToGrid/>
        <w:spacing w:line="600" w:lineRule="exact"/>
        <w:ind w:left="0" w:firstLine="640" w:firstLineChars="200"/>
        <w:jc w:val="left"/>
        <w:textAlignment w:val="auto"/>
        <w:rPr>
          <w:rFonts w:hint="eastAsia" w:ascii="仿宋_GB2312" w:hAnsi="仿宋_GB2312" w:eastAsia="仿宋_GB2312" w:cs="仿宋_GB2312"/>
          <w:color w:val="auto"/>
          <w:spacing w:val="-4"/>
          <w:kern w:val="0"/>
          <w:sz w:val="32"/>
          <w:szCs w:val="32"/>
          <w:highlight w:val="none"/>
          <w:shd w:val="clear" w:color="auto" w:fill="FFFFFF"/>
          <w:lang w:eastAsia="zh-CN"/>
        </w:rPr>
      </w:pPr>
      <w:r>
        <w:rPr>
          <w:rFonts w:hint="eastAsia" w:ascii="仿宋_GB2312" w:hAnsi="仿宋_GB2312" w:eastAsia="仿宋_GB2312" w:cs="仿宋_GB2312"/>
          <w:color w:val="auto"/>
          <w:sz w:val="32"/>
          <w:szCs w:val="32"/>
          <w:highlight w:val="none"/>
          <w:lang w:eastAsia="zh-CN"/>
        </w:rPr>
        <w:t>各镇街：</w:t>
      </w:r>
      <w:r>
        <w:rPr>
          <w:rFonts w:hint="eastAsia" w:ascii="仿宋_GB2312" w:hAnsi="仿宋_GB2312" w:eastAsia="仿宋_GB2312" w:cs="仿宋_GB2312"/>
          <w:color w:val="auto"/>
          <w:sz w:val="32"/>
          <w:szCs w:val="32"/>
          <w:highlight w:val="none"/>
          <w:lang w:val="en-US" w:eastAsia="zh-CN"/>
        </w:rPr>
        <w:t>负责分布在居民区、住宅楼内和偏远区域未登记等</w:t>
      </w:r>
      <w:r>
        <w:rPr>
          <w:rFonts w:hint="eastAsia" w:ascii="仿宋_GB2312" w:hAnsi="仿宋_GB2312" w:eastAsia="仿宋_GB2312" w:cs="仿宋_GB2312"/>
          <w:color w:val="auto"/>
          <w:sz w:val="32"/>
          <w:szCs w:val="32"/>
          <w:highlight w:val="none"/>
        </w:rPr>
        <w:t>预付</w:t>
      </w:r>
      <w:r>
        <w:rPr>
          <w:rFonts w:hint="eastAsia" w:ascii="仿宋_GB2312" w:hAnsi="仿宋_GB2312" w:eastAsia="仿宋_GB2312" w:cs="仿宋_GB2312"/>
          <w:color w:val="auto"/>
          <w:sz w:val="32"/>
          <w:szCs w:val="32"/>
          <w:highlight w:val="none"/>
          <w:lang w:val="en-US" w:eastAsia="zh-CN"/>
        </w:rPr>
        <w:t>式</w:t>
      </w:r>
      <w:r>
        <w:rPr>
          <w:rFonts w:hint="eastAsia" w:ascii="仿宋_GB2312" w:hAnsi="仿宋_GB2312" w:eastAsia="仿宋_GB2312" w:cs="仿宋_GB2312"/>
          <w:color w:val="auto"/>
          <w:sz w:val="32"/>
          <w:szCs w:val="32"/>
          <w:highlight w:val="none"/>
        </w:rPr>
        <w:t>消费的</w:t>
      </w:r>
      <w:r>
        <w:rPr>
          <w:rFonts w:hint="eastAsia" w:ascii="仿宋_GB2312" w:hAnsi="仿宋_GB2312" w:eastAsia="仿宋_GB2312" w:cs="仿宋_GB2312"/>
          <w:color w:val="auto"/>
          <w:sz w:val="32"/>
          <w:szCs w:val="32"/>
          <w:highlight w:val="none"/>
          <w:lang w:val="en-US" w:eastAsia="zh-CN"/>
        </w:rPr>
        <w:t>底数摸排、</w:t>
      </w:r>
      <w:r>
        <w:rPr>
          <w:rFonts w:hint="eastAsia" w:ascii="仿宋_GB2312" w:hAnsi="仿宋_GB2312" w:eastAsia="仿宋_GB2312" w:cs="仿宋_GB2312"/>
          <w:color w:val="auto"/>
          <w:sz w:val="32"/>
          <w:szCs w:val="32"/>
          <w:highlight w:val="none"/>
        </w:rPr>
        <w:t>专项整治和调解处置</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pacing w:val="-4"/>
          <w:kern w:val="0"/>
          <w:sz w:val="32"/>
          <w:szCs w:val="32"/>
          <w:highlight w:val="none"/>
          <w:shd w:val="clear" w:color="auto" w:fill="FFFFFF"/>
        </w:rPr>
        <w:t>协助相关部门做好属地预付</w:t>
      </w:r>
      <w:r>
        <w:rPr>
          <w:rFonts w:hint="eastAsia" w:ascii="仿宋_GB2312" w:hAnsi="仿宋_GB2312" w:eastAsia="仿宋_GB2312" w:cs="仿宋_GB2312"/>
          <w:color w:val="auto"/>
          <w:sz w:val="32"/>
          <w:szCs w:val="32"/>
          <w:highlight w:val="none"/>
          <w:lang w:val="en-US" w:eastAsia="zh-CN"/>
        </w:rPr>
        <w:t>式</w:t>
      </w:r>
      <w:r>
        <w:rPr>
          <w:rFonts w:hint="eastAsia" w:ascii="仿宋_GB2312" w:hAnsi="仿宋_GB2312" w:eastAsia="仿宋_GB2312" w:cs="仿宋_GB2312"/>
          <w:color w:val="auto"/>
          <w:spacing w:val="-4"/>
          <w:kern w:val="0"/>
          <w:sz w:val="32"/>
          <w:szCs w:val="32"/>
          <w:highlight w:val="none"/>
          <w:shd w:val="clear" w:color="auto" w:fill="FFFFFF"/>
        </w:rPr>
        <w:t>消费</w:t>
      </w:r>
      <w:r>
        <w:rPr>
          <w:rFonts w:hint="eastAsia" w:ascii="仿宋_GB2312" w:hAnsi="仿宋_GB2312" w:eastAsia="仿宋_GB2312" w:cs="仿宋_GB2312"/>
          <w:color w:val="auto"/>
          <w:spacing w:val="-4"/>
          <w:kern w:val="0"/>
          <w:sz w:val="32"/>
          <w:szCs w:val="32"/>
          <w:highlight w:val="none"/>
          <w:shd w:val="clear" w:color="auto" w:fill="FFFFFF"/>
          <w:lang w:val="en-US" w:eastAsia="zh-CN"/>
        </w:rPr>
        <w:t>的</w:t>
      </w:r>
      <w:r>
        <w:rPr>
          <w:rFonts w:hint="eastAsia" w:ascii="仿宋_GB2312" w:hAnsi="仿宋_GB2312" w:eastAsia="仿宋_GB2312" w:cs="仿宋_GB2312"/>
          <w:color w:val="auto"/>
          <w:spacing w:val="-4"/>
          <w:kern w:val="0"/>
          <w:sz w:val="32"/>
          <w:szCs w:val="32"/>
          <w:highlight w:val="none"/>
          <w:shd w:val="clear" w:color="auto" w:fill="FFFFFF"/>
        </w:rPr>
        <w:t>专项整治和调解处置</w:t>
      </w:r>
      <w:r>
        <w:rPr>
          <w:rFonts w:hint="eastAsia" w:ascii="仿宋_GB2312" w:hAnsi="仿宋_GB2312" w:eastAsia="仿宋_GB2312" w:cs="仿宋_GB2312"/>
          <w:color w:val="auto"/>
          <w:spacing w:val="-4"/>
          <w:kern w:val="0"/>
          <w:sz w:val="32"/>
          <w:szCs w:val="32"/>
          <w:highlight w:val="none"/>
          <w:shd w:val="clear" w:color="auto" w:fill="FFFFFF"/>
          <w:lang w:eastAsia="zh-CN"/>
        </w:rPr>
        <w:t>。</w:t>
      </w:r>
    </w:p>
    <w:p w14:paraId="067656C0">
      <w:pPr>
        <w:keepNext w:val="0"/>
        <w:keepLines w:val="0"/>
        <w:pageBreakBefore w:val="0"/>
        <w:widowControl w:val="0"/>
        <w:kinsoku/>
        <w:wordWrap/>
        <w:overflowPunct/>
        <w:topLinePunct w:val="0"/>
        <w:autoSpaceDE/>
        <w:autoSpaceDN/>
        <w:bidi w:val="0"/>
        <w:adjustRightInd/>
        <w:snapToGrid/>
        <w:spacing w:line="600" w:lineRule="exact"/>
        <w:ind w:left="0" w:firstLine="640" w:firstLineChars="200"/>
        <w:textAlignment w:val="auto"/>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lang w:val="en-US" w:eastAsia="zh-CN"/>
        </w:rPr>
        <w:t>三、</w:t>
      </w:r>
      <w:r>
        <w:rPr>
          <w:rFonts w:hint="eastAsia" w:ascii="黑体" w:hAnsi="黑体" w:eastAsia="黑体" w:cs="黑体"/>
          <w:color w:val="auto"/>
          <w:sz w:val="32"/>
          <w:szCs w:val="32"/>
          <w:highlight w:val="none"/>
        </w:rPr>
        <w:t>工作举措</w:t>
      </w:r>
    </w:p>
    <w:p w14:paraId="2A0E6BE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楷体_GB2312" w:hAnsi="楷体_GB2312" w:eastAsia="楷体_GB2312" w:cs="楷体_GB2312"/>
          <w:b w:val="0"/>
          <w:bCs w:val="0"/>
          <w:color w:val="auto"/>
          <w:sz w:val="32"/>
          <w:szCs w:val="32"/>
          <w:highlight w:val="none"/>
          <w:lang w:val="en-US" w:eastAsia="zh-CN"/>
        </w:rPr>
      </w:pPr>
      <w:r>
        <w:rPr>
          <w:rFonts w:hint="eastAsia" w:ascii="楷体_GB2312" w:hAnsi="楷体_GB2312" w:eastAsia="楷体_GB2312" w:cs="楷体_GB2312"/>
          <w:b w:val="0"/>
          <w:bCs w:val="0"/>
          <w:color w:val="auto"/>
          <w:sz w:val="32"/>
          <w:szCs w:val="32"/>
          <w:highlight w:val="none"/>
        </w:rPr>
        <w:t>（一）强化源头监管</w:t>
      </w:r>
      <w:r>
        <w:rPr>
          <w:rFonts w:hint="eastAsia" w:ascii="楷体_GB2312" w:hAnsi="楷体_GB2312" w:eastAsia="楷体_GB2312" w:cs="楷体_GB2312"/>
          <w:b w:val="0"/>
          <w:bCs w:val="0"/>
          <w:color w:val="auto"/>
          <w:sz w:val="32"/>
          <w:szCs w:val="32"/>
          <w:highlight w:val="none"/>
          <w:lang w:val="en-US" w:eastAsia="zh-CN"/>
        </w:rPr>
        <w:t>机制</w:t>
      </w:r>
    </w:p>
    <w:p w14:paraId="7759C0B2">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1.备案</w:t>
      </w:r>
      <w:r>
        <w:rPr>
          <w:rFonts w:hint="eastAsia" w:ascii="仿宋_GB2312" w:hAnsi="仿宋_GB2312" w:eastAsia="仿宋_GB2312" w:cs="仿宋_GB2312"/>
          <w:color w:val="auto"/>
          <w:sz w:val="32"/>
          <w:szCs w:val="32"/>
          <w:highlight w:val="none"/>
          <w:lang w:val="en-US" w:eastAsia="zh-CN"/>
        </w:rPr>
        <w:t>审核</w:t>
      </w:r>
      <w:r>
        <w:rPr>
          <w:rFonts w:hint="eastAsia" w:ascii="仿宋_GB2312" w:hAnsi="仿宋_GB2312" w:eastAsia="仿宋_GB2312" w:cs="仿宋_GB2312"/>
          <w:color w:val="auto"/>
          <w:sz w:val="32"/>
          <w:szCs w:val="32"/>
          <w:highlight w:val="none"/>
        </w:rPr>
        <w:t>全覆盖</w:t>
      </w:r>
    </w:p>
    <w:p w14:paraId="41C573DC">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要求各行业</w:t>
      </w:r>
      <w:r>
        <w:rPr>
          <w:rFonts w:hint="eastAsia" w:ascii="仿宋_GB2312" w:hAnsi="仿宋_GB2312" w:eastAsia="仿宋_GB2312" w:cs="仿宋_GB2312"/>
          <w:color w:val="auto"/>
          <w:sz w:val="32"/>
          <w:szCs w:val="32"/>
          <w:highlight w:val="none"/>
        </w:rPr>
        <w:t>预付式</w:t>
      </w:r>
      <w:r>
        <w:rPr>
          <w:rFonts w:hint="eastAsia" w:ascii="仿宋_GB2312" w:hAnsi="仿宋_GB2312" w:eastAsia="仿宋_GB2312" w:cs="仿宋_GB2312"/>
          <w:color w:val="auto"/>
          <w:sz w:val="32"/>
          <w:szCs w:val="32"/>
          <w:highlight w:val="none"/>
          <w:lang w:val="en-US" w:eastAsia="zh-CN"/>
        </w:rPr>
        <w:t>消费主体</w:t>
      </w:r>
      <w:r>
        <w:rPr>
          <w:rFonts w:hint="eastAsia" w:ascii="仿宋_GB2312" w:hAnsi="仿宋_GB2312" w:eastAsia="仿宋_GB2312" w:cs="仿宋_GB2312"/>
          <w:color w:val="auto"/>
          <w:sz w:val="32"/>
          <w:szCs w:val="32"/>
          <w:highlight w:val="none"/>
        </w:rPr>
        <w:t>实行</w:t>
      </w:r>
      <w:r>
        <w:rPr>
          <w:rFonts w:hint="eastAsia" w:ascii="仿宋_GB2312" w:hAnsi="仿宋_GB2312" w:eastAsia="仿宋_GB2312" w:cs="仿宋_GB2312"/>
          <w:color w:val="auto"/>
          <w:sz w:val="32"/>
          <w:szCs w:val="32"/>
          <w:highlight w:val="none"/>
          <w:lang w:val="en-US" w:eastAsia="zh-CN"/>
        </w:rPr>
        <w:t>主动</w:t>
      </w:r>
      <w:r>
        <w:rPr>
          <w:rFonts w:hint="eastAsia" w:ascii="仿宋_GB2312" w:hAnsi="仿宋_GB2312" w:eastAsia="仿宋_GB2312" w:cs="仿宋_GB2312"/>
          <w:color w:val="auto"/>
          <w:sz w:val="32"/>
          <w:szCs w:val="32"/>
          <w:highlight w:val="none"/>
        </w:rPr>
        <w:t>备案制，动态更新预付式消费经营主体</w:t>
      </w:r>
      <w:r>
        <w:rPr>
          <w:rFonts w:hint="eastAsia" w:ascii="仿宋_GB2312" w:hAnsi="仿宋_GB2312" w:eastAsia="仿宋_GB2312" w:cs="仿宋_GB2312"/>
          <w:color w:val="auto"/>
          <w:sz w:val="32"/>
          <w:szCs w:val="32"/>
          <w:highlight w:val="none"/>
          <w:lang w:val="en-US" w:eastAsia="zh-CN"/>
        </w:rPr>
        <w:t>台账</w:t>
      </w:r>
      <w:r>
        <w:rPr>
          <w:rFonts w:hint="eastAsia" w:ascii="仿宋_GB2312" w:hAnsi="仿宋_GB2312" w:eastAsia="仿宋_GB2312" w:cs="仿宋_GB2312"/>
          <w:color w:val="auto"/>
          <w:sz w:val="32"/>
          <w:szCs w:val="32"/>
          <w:highlight w:val="none"/>
        </w:rPr>
        <w:t xml:space="preserve">。  </w:t>
      </w:r>
    </w:p>
    <w:p w14:paraId="5222117D">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统一管理的商圈、商场管理方要加强日常管理，精准</w:t>
      </w:r>
      <w:r>
        <w:rPr>
          <w:rFonts w:hint="eastAsia" w:ascii="仿宋_GB2312" w:hAnsi="仿宋_GB2312" w:eastAsia="仿宋_GB2312" w:cs="仿宋_GB2312"/>
          <w:color w:val="auto"/>
          <w:sz w:val="32"/>
          <w:szCs w:val="32"/>
          <w:highlight w:val="none"/>
        </w:rPr>
        <w:t>识别高风险</w:t>
      </w:r>
      <w:r>
        <w:rPr>
          <w:rFonts w:hint="eastAsia" w:ascii="仿宋_GB2312" w:hAnsi="仿宋_GB2312" w:eastAsia="仿宋_GB2312" w:cs="仿宋_GB2312"/>
          <w:color w:val="auto"/>
          <w:sz w:val="32"/>
          <w:szCs w:val="32"/>
          <w:highlight w:val="none"/>
          <w:lang w:eastAsia="zh-CN"/>
        </w:rPr>
        <w:t>经营者</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存在异常要及时采取相应措施并及时上报。</w:t>
      </w:r>
    </w:p>
    <w:p w14:paraId="06F81F1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t>2.</w:t>
      </w:r>
      <w:r>
        <w:rPr>
          <w:rFonts w:hint="eastAsia" w:ascii="仿宋_GB2312" w:hAnsi="仿宋_GB2312" w:eastAsia="仿宋_GB2312" w:cs="仿宋_GB2312"/>
          <w:color w:val="auto"/>
          <w:sz w:val="32"/>
          <w:szCs w:val="32"/>
          <w:highlight w:val="none"/>
          <w:lang w:val="en-US" w:eastAsia="zh-CN"/>
        </w:rPr>
        <w:t>预付合同标准化</w:t>
      </w:r>
    </w:p>
    <w:p w14:paraId="6EF66DD4">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区司法局会同区市监局制定</w:t>
      </w:r>
      <w:r>
        <w:rPr>
          <w:rFonts w:hint="eastAsia" w:ascii="仿宋_GB2312" w:hAnsi="仿宋_GB2312" w:eastAsia="仿宋_GB2312" w:cs="仿宋_GB2312"/>
          <w:color w:val="auto"/>
          <w:sz w:val="32"/>
          <w:szCs w:val="32"/>
          <w:highlight w:val="none"/>
        </w:rPr>
        <w:t>预付式消费合同示范文本</w:t>
      </w:r>
      <w:r>
        <w:rPr>
          <w:rFonts w:hint="eastAsia" w:ascii="仿宋_GB2312" w:hAnsi="仿宋_GB2312" w:eastAsia="仿宋_GB2312" w:cs="仿宋_GB2312"/>
          <w:color w:val="auto"/>
          <w:sz w:val="32"/>
          <w:szCs w:val="32"/>
          <w:highlight w:val="none"/>
          <w:lang w:val="en-US" w:eastAsia="zh-CN"/>
        </w:rPr>
        <w:t>，各主管部门根据行业特点参考示范文本指导并督促商户规范签订合同。</w:t>
      </w:r>
    </w:p>
    <w:p w14:paraId="787BF25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val="0"/>
          <w:bCs w:val="0"/>
          <w:color w:val="auto"/>
          <w:sz w:val="32"/>
          <w:szCs w:val="32"/>
          <w:highlight w:val="none"/>
          <w:lang w:val="en-US" w:eastAsia="zh-CN"/>
        </w:rPr>
        <w:t>3.</w:t>
      </w:r>
      <w:r>
        <w:rPr>
          <w:rFonts w:hint="eastAsia" w:ascii="仿宋_GB2312" w:hAnsi="仿宋_GB2312" w:eastAsia="仿宋_GB2312" w:cs="仿宋_GB2312"/>
          <w:color w:val="auto"/>
          <w:sz w:val="32"/>
          <w:szCs w:val="32"/>
          <w:highlight w:val="none"/>
          <w:lang w:val="en-US" w:eastAsia="zh-CN"/>
        </w:rPr>
        <w:t>预付资金规范化</w:t>
      </w:r>
      <w:r>
        <w:rPr>
          <w:rFonts w:hint="eastAsia" w:ascii="仿宋_GB2312" w:hAnsi="仿宋_GB2312" w:eastAsia="仿宋_GB2312" w:cs="仿宋_GB2312"/>
          <w:color w:val="auto"/>
          <w:sz w:val="32"/>
          <w:szCs w:val="32"/>
          <w:highlight w:val="none"/>
        </w:rPr>
        <w:t xml:space="preserve">  </w:t>
      </w:r>
    </w:p>
    <w:p w14:paraId="710E8DC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由主管部门及商圈、商场管理方对</w:t>
      </w:r>
      <w:r>
        <w:rPr>
          <w:rFonts w:hint="eastAsia" w:ascii="仿宋_GB2312" w:hAnsi="仿宋_GB2312" w:eastAsia="仿宋_GB2312" w:cs="仿宋_GB2312"/>
          <w:color w:val="auto"/>
          <w:sz w:val="32"/>
          <w:szCs w:val="32"/>
          <w:highlight w:val="none"/>
        </w:rPr>
        <w:t>推行</w:t>
      </w:r>
      <w:r>
        <w:rPr>
          <w:rFonts w:hint="eastAsia" w:ascii="仿宋_GB2312" w:hAnsi="仿宋_GB2312" w:eastAsia="仿宋_GB2312" w:cs="仿宋_GB2312"/>
          <w:color w:val="auto"/>
          <w:sz w:val="32"/>
          <w:szCs w:val="32"/>
          <w:highlight w:val="none"/>
          <w:lang w:val="en-US" w:eastAsia="zh-CN"/>
        </w:rPr>
        <w:t>预付式消费经营模式主体的资金收取及使用情况进行监管，通过“日管控、周排查、月调度”的方式做好日常监督。</w:t>
      </w:r>
    </w:p>
    <w:p w14:paraId="17221D0C">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楷体_GB2312" w:hAnsi="楷体_GB2312" w:eastAsia="楷体_GB2312" w:cs="楷体_GB2312"/>
          <w:b w:val="0"/>
          <w:bCs w:val="0"/>
          <w:color w:val="auto"/>
          <w:sz w:val="32"/>
          <w:szCs w:val="32"/>
          <w:highlight w:val="none"/>
        </w:rPr>
      </w:pPr>
      <w:r>
        <w:rPr>
          <w:rFonts w:hint="eastAsia" w:ascii="楷体_GB2312" w:hAnsi="楷体_GB2312" w:eastAsia="楷体_GB2312" w:cs="楷体_GB2312"/>
          <w:b w:val="0"/>
          <w:bCs w:val="0"/>
          <w:color w:val="auto"/>
          <w:sz w:val="32"/>
          <w:szCs w:val="32"/>
          <w:highlight w:val="none"/>
        </w:rPr>
        <w:t>（二）建立风险防控体系</w:t>
      </w:r>
    </w:p>
    <w:p w14:paraId="144761EB">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1.动态风险评估</w:t>
      </w:r>
    </w:p>
    <w:p w14:paraId="72528D8C">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定期</w:t>
      </w:r>
      <w:r>
        <w:rPr>
          <w:rFonts w:hint="eastAsia" w:ascii="仿宋_GB2312" w:hAnsi="仿宋_GB2312" w:eastAsia="仿宋_GB2312" w:cs="仿宋_GB2312"/>
          <w:color w:val="auto"/>
          <w:sz w:val="32"/>
          <w:szCs w:val="32"/>
          <w:highlight w:val="none"/>
        </w:rPr>
        <w:t>对预付</w:t>
      </w:r>
      <w:r>
        <w:rPr>
          <w:rFonts w:hint="eastAsia" w:ascii="仿宋_GB2312" w:hAnsi="仿宋_GB2312" w:eastAsia="仿宋_GB2312" w:cs="仿宋_GB2312"/>
          <w:color w:val="auto"/>
          <w:sz w:val="32"/>
          <w:szCs w:val="32"/>
          <w:highlight w:val="none"/>
          <w:lang w:eastAsia="zh-CN"/>
        </w:rPr>
        <w:t>经营者</w:t>
      </w:r>
      <w:r>
        <w:rPr>
          <w:rFonts w:hint="eastAsia" w:ascii="仿宋_GB2312" w:hAnsi="仿宋_GB2312" w:eastAsia="仿宋_GB2312" w:cs="仿宋_GB2312"/>
          <w:color w:val="auto"/>
          <w:sz w:val="32"/>
          <w:szCs w:val="32"/>
          <w:highlight w:val="none"/>
        </w:rPr>
        <w:t>开展“四查”行动：查资金流水、查投诉记录、查经营状态、查舆情信息，按风险等级标注红黄蓝三色标签。</w:t>
      </w:r>
      <w:r>
        <w:rPr>
          <w:rFonts w:hint="eastAsia" w:ascii="仿宋_GB2312" w:hAnsi="仿宋_GB2312" w:eastAsia="仿宋_GB2312" w:cs="仿宋_GB2312"/>
          <w:color w:val="auto"/>
          <w:sz w:val="32"/>
          <w:szCs w:val="32"/>
          <w:highlight w:val="none"/>
          <w:lang w:val="en-US" w:eastAsia="zh-CN"/>
        </w:rPr>
        <w:t>主管部门及商圈、商场管理方发现经营者存在风险隐患的，及时做出风险提示并实时通报，存在重大隐患的要及时报请联席会议研判处置。</w:t>
      </w:r>
    </w:p>
    <w:p w14:paraId="704E06D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w:t>
      </w:r>
      <w:r>
        <w:rPr>
          <w:rFonts w:hint="eastAsia" w:ascii="仿宋_GB2312" w:hAnsi="仿宋_GB2312" w:eastAsia="仿宋_GB2312" w:cs="仿宋_GB2312"/>
          <w:color w:val="auto"/>
          <w:sz w:val="32"/>
          <w:szCs w:val="32"/>
          <w:highlight w:val="none"/>
          <w:lang w:val="en-US" w:eastAsia="zh-CN"/>
        </w:rPr>
        <w:t>信息</w:t>
      </w:r>
      <w:r>
        <w:rPr>
          <w:rFonts w:hint="eastAsia" w:ascii="仿宋_GB2312" w:hAnsi="仿宋_GB2312" w:eastAsia="仿宋_GB2312" w:cs="仿宋_GB2312"/>
          <w:color w:val="auto"/>
          <w:sz w:val="32"/>
          <w:szCs w:val="32"/>
          <w:highlight w:val="none"/>
        </w:rPr>
        <w:t>数据共享</w:t>
      </w:r>
    </w:p>
    <w:p w14:paraId="644E6580">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各部门要加强联络与信息共享，</w:t>
      </w:r>
      <w:r>
        <w:rPr>
          <w:rFonts w:hint="eastAsia" w:ascii="仿宋_GB2312" w:hAnsi="仿宋_GB2312" w:eastAsia="仿宋_GB2312" w:cs="仿宋_GB2312"/>
          <w:color w:val="auto"/>
          <w:sz w:val="32"/>
          <w:szCs w:val="32"/>
          <w:highlight w:val="none"/>
        </w:rPr>
        <w:t>实时监控经营异常</w:t>
      </w:r>
      <w:r>
        <w:rPr>
          <w:rFonts w:hint="eastAsia" w:ascii="仿宋_GB2312" w:hAnsi="仿宋_GB2312" w:eastAsia="仿宋_GB2312" w:cs="仿宋_GB2312"/>
          <w:color w:val="auto"/>
          <w:sz w:val="32"/>
          <w:szCs w:val="32"/>
          <w:highlight w:val="none"/>
          <w:lang w:val="en-US" w:eastAsia="zh-CN"/>
        </w:rPr>
        <w:t>情况</w:t>
      </w:r>
      <w:r>
        <w:rPr>
          <w:rFonts w:hint="eastAsia" w:ascii="仿宋_GB2312" w:hAnsi="仿宋_GB2312" w:eastAsia="仿宋_GB2312" w:cs="仿宋_GB2312"/>
          <w:color w:val="auto"/>
          <w:sz w:val="32"/>
          <w:szCs w:val="32"/>
          <w:highlight w:val="none"/>
        </w:rPr>
        <w:t>（如频繁变更法人、欠税、涉案诉讼等）</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并</w:t>
      </w:r>
      <w:r>
        <w:rPr>
          <w:rFonts w:hint="eastAsia" w:ascii="仿宋_GB2312" w:hAnsi="仿宋_GB2312" w:eastAsia="仿宋_GB2312" w:cs="仿宋_GB2312"/>
          <w:color w:val="auto"/>
          <w:sz w:val="32"/>
          <w:szCs w:val="32"/>
          <w:highlight w:val="none"/>
          <w:lang w:val="en-US" w:eastAsia="zh-CN"/>
        </w:rPr>
        <w:t>及时向有关部门推送</w:t>
      </w:r>
      <w:r>
        <w:rPr>
          <w:rFonts w:hint="eastAsia" w:ascii="仿宋_GB2312" w:hAnsi="仿宋_GB2312" w:eastAsia="仿宋_GB2312" w:cs="仿宋_GB2312"/>
          <w:color w:val="auto"/>
          <w:sz w:val="32"/>
          <w:szCs w:val="32"/>
          <w:highlight w:val="none"/>
        </w:rPr>
        <w:t>。</w:t>
      </w:r>
    </w:p>
    <w:p w14:paraId="7A5C88EE">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640" w:firstLineChars="2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3.加强宣传检查</w:t>
      </w:r>
    </w:p>
    <w:p w14:paraId="694145BF">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各部门联合组织</w:t>
      </w:r>
      <w:r>
        <w:rPr>
          <w:rFonts w:hint="eastAsia" w:ascii="仿宋_GB2312" w:hAnsi="仿宋_GB2312" w:eastAsia="仿宋_GB2312" w:cs="仿宋_GB2312"/>
          <w:color w:val="auto"/>
          <w:sz w:val="32"/>
          <w:szCs w:val="32"/>
          <w:highlight w:val="none"/>
        </w:rPr>
        <w:t>开展</w:t>
      </w:r>
      <w:r>
        <w:rPr>
          <w:rFonts w:hint="eastAsia" w:ascii="仿宋_GB2312" w:hAnsi="仿宋_GB2312" w:eastAsia="仿宋_GB2312" w:cs="仿宋_GB2312"/>
          <w:color w:val="auto"/>
          <w:sz w:val="32"/>
          <w:szCs w:val="32"/>
          <w:highlight w:val="none"/>
          <w:lang w:val="en-US" w:eastAsia="zh-CN"/>
        </w:rPr>
        <w:t>宣传</w:t>
      </w:r>
      <w:r>
        <w:rPr>
          <w:rFonts w:hint="eastAsia" w:ascii="仿宋_GB2312" w:hAnsi="仿宋_GB2312" w:eastAsia="仿宋_GB2312" w:cs="仿宋_GB2312"/>
          <w:color w:val="auto"/>
          <w:sz w:val="32"/>
          <w:szCs w:val="32"/>
          <w:highlight w:val="none"/>
        </w:rPr>
        <w:t>活动，普及消费维权知识和防骗技巧。</w:t>
      </w:r>
      <w:r>
        <w:rPr>
          <w:rFonts w:hint="eastAsia" w:ascii="仿宋_GB2312" w:hAnsi="仿宋_GB2312" w:eastAsia="仿宋_GB2312" w:cs="仿宋_GB2312"/>
          <w:color w:val="auto"/>
          <w:sz w:val="32"/>
          <w:szCs w:val="32"/>
          <w:highlight w:val="none"/>
          <w:lang w:val="en-US" w:eastAsia="zh-CN"/>
        </w:rPr>
        <w:t>每季度开展部门</w:t>
      </w:r>
      <w:r>
        <w:rPr>
          <w:rFonts w:hint="eastAsia" w:ascii="仿宋_GB2312" w:hAnsi="仿宋_GB2312" w:eastAsia="仿宋_GB2312" w:cs="仿宋_GB2312"/>
          <w:color w:val="auto"/>
          <w:sz w:val="32"/>
          <w:szCs w:val="32"/>
          <w:highlight w:val="none"/>
        </w:rPr>
        <w:t>联合执法</w:t>
      </w:r>
      <w:r>
        <w:rPr>
          <w:rFonts w:hint="eastAsia" w:ascii="仿宋_GB2312" w:hAnsi="仿宋_GB2312" w:eastAsia="仿宋_GB2312" w:cs="仿宋_GB2312"/>
          <w:color w:val="auto"/>
          <w:sz w:val="32"/>
          <w:szCs w:val="32"/>
          <w:highlight w:val="none"/>
          <w:lang w:val="en-US" w:eastAsia="zh-CN"/>
        </w:rPr>
        <w:t>检查</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形成典型案例，</w:t>
      </w:r>
      <w:r>
        <w:rPr>
          <w:rFonts w:hint="eastAsia" w:ascii="仿宋_GB2312" w:hAnsi="仿宋_GB2312" w:eastAsia="仿宋_GB2312" w:cs="仿宋_GB2312"/>
          <w:color w:val="auto"/>
          <w:sz w:val="32"/>
          <w:szCs w:val="32"/>
          <w:highlight w:val="none"/>
        </w:rPr>
        <w:t>强化震慑力</w:t>
      </w:r>
      <w:r>
        <w:rPr>
          <w:rFonts w:hint="eastAsia" w:ascii="仿宋_GB2312" w:hAnsi="仿宋_GB2312" w:eastAsia="仿宋_GB2312" w:cs="仿宋_GB2312"/>
          <w:color w:val="auto"/>
          <w:sz w:val="32"/>
          <w:szCs w:val="32"/>
          <w:highlight w:val="none"/>
          <w:lang w:eastAsia="zh-CN"/>
        </w:rPr>
        <w:t>。</w:t>
      </w:r>
    </w:p>
    <w:p w14:paraId="104EC902">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4.</w:t>
      </w:r>
      <w:r>
        <w:rPr>
          <w:rFonts w:hint="eastAsia" w:ascii="仿宋_GB2312" w:hAnsi="仿宋_GB2312" w:eastAsia="仿宋_GB2312" w:cs="仿宋_GB2312"/>
          <w:color w:val="auto"/>
          <w:sz w:val="32"/>
          <w:szCs w:val="32"/>
          <w:highlight w:val="none"/>
        </w:rPr>
        <w:t>突发事件响应</w:t>
      </w:r>
    </w:p>
    <w:p w14:paraId="12F5E74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各部门要对</w:t>
      </w:r>
      <w:r>
        <w:rPr>
          <w:rFonts w:hint="eastAsia" w:ascii="仿宋_GB2312" w:hAnsi="仿宋_GB2312" w:eastAsia="仿宋_GB2312" w:cs="仿宋_GB2312"/>
          <w:color w:val="auto"/>
          <w:sz w:val="32"/>
          <w:szCs w:val="32"/>
          <w:highlight w:val="none"/>
        </w:rPr>
        <w:t>“关门跑路”</w:t>
      </w:r>
      <w:r>
        <w:rPr>
          <w:rFonts w:hint="eastAsia" w:ascii="仿宋_GB2312" w:hAnsi="仿宋_GB2312" w:eastAsia="仿宋_GB2312" w:cs="仿宋_GB2312"/>
          <w:color w:val="auto"/>
          <w:sz w:val="32"/>
          <w:szCs w:val="32"/>
          <w:highlight w:val="none"/>
          <w:lang w:val="en-US" w:eastAsia="zh-CN"/>
        </w:rPr>
        <w:t>等突发事件立即</w:t>
      </w:r>
      <w:r>
        <w:rPr>
          <w:rFonts w:hint="eastAsia" w:ascii="仿宋_GB2312" w:hAnsi="仿宋_GB2312" w:eastAsia="仿宋_GB2312" w:cs="仿宋_GB2312"/>
          <w:color w:val="auto"/>
          <w:sz w:val="32"/>
          <w:szCs w:val="32"/>
          <w:highlight w:val="none"/>
        </w:rPr>
        <w:t>启动</w:t>
      </w:r>
      <w:r>
        <w:rPr>
          <w:rFonts w:hint="eastAsia" w:ascii="仿宋_GB2312" w:hAnsi="仿宋_GB2312" w:eastAsia="仿宋_GB2312" w:cs="仿宋_GB2312"/>
          <w:color w:val="auto"/>
          <w:sz w:val="32"/>
          <w:szCs w:val="32"/>
          <w:highlight w:val="none"/>
          <w:lang w:val="en-US" w:eastAsia="zh-CN"/>
        </w:rPr>
        <w:t>应急</w:t>
      </w:r>
      <w:r>
        <w:rPr>
          <w:rFonts w:hint="eastAsia" w:ascii="仿宋_GB2312" w:hAnsi="仿宋_GB2312" w:eastAsia="仿宋_GB2312" w:cs="仿宋_GB2312"/>
          <w:color w:val="auto"/>
          <w:sz w:val="32"/>
          <w:szCs w:val="32"/>
          <w:highlight w:val="none"/>
        </w:rPr>
        <w:t>响应机制</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主管部门及时介入调查并处理消费纠纷，</w:t>
      </w:r>
      <w:r>
        <w:rPr>
          <w:rFonts w:hint="eastAsia" w:ascii="仿宋_GB2312" w:hAnsi="仿宋_GB2312" w:eastAsia="仿宋_GB2312" w:cs="仿宋_GB2312"/>
          <w:color w:val="auto"/>
          <w:sz w:val="32"/>
          <w:szCs w:val="32"/>
          <w:highlight w:val="none"/>
        </w:rPr>
        <w:t>公安部门调查资金流向，</w:t>
      </w:r>
      <w:r>
        <w:rPr>
          <w:rFonts w:hint="eastAsia" w:ascii="仿宋_GB2312" w:hAnsi="仿宋_GB2312" w:eastAsia="仿宋_GB2312" w:cs="仿宋_GB2312"/>
          <w:color w:val="auto"/>
          <w:sz w:val="32"/>
          <w:szCs w:val="32"/>
          <w:highlight w:val="none"/>
          <w:lang w:val="en-US" w:eastAsia="zh-CN"/>
        </w:rPr>
        <w:t>属地镇街做好群众稳控工作。</w:t>
      </w:r>
    </w:p>
    <w:p w14:paraId="1AB55FC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楷体_GB2312" w:hAnsi="楷体_GB2312" w:eastAsia="楷体_GB2312" w:cs="楷体_GB2312"/>
          <w:b w:val="0"/>
          <w:bCs w:val="0"/>
          <w:color w:val="auto"/>
          <w:sz w:val="32"/>
          <w:szCs w:val="32"/>
          <w:highlight w:val="none"/>
          <w:lang w:val="en-US" w:eastAsia="zh-CN"/>
        </w:rPr>
      </w:pPr>
      <w:r>
        <w:rPr>
          <w:rFonts w:hint="eastAsia" w:ascii="楷体_GB2312" w:hAnsi="楷体_GB2312" w:eastAsia="楷体_GB2312" w:cs="楷体_GB2312"/>
          <w:b w:val="0"/>
          <w:bCs w:val="0"/>
          <w:color w:val="auto"/>
          <w:sz w:val="32"/>
          <w:szCs w:val="32"/>
          <w:highlight w:val="none"/>
          <w:lang w:eastAsia="zh-CN"/>
        </w:rPr>
        <w:t>（</w:t>
      </w:r>
      <w:r>
        <w:rPr>
          <w:rFonts w:hint="eastAsia" w:ascii="楷体_GB2312" w:hAnsi="楷体_GB2312" w:eastAsia="楷体_GB2312" w:cs="楷体_GB2312"/>
          <w:b w:val="0"/>
          <w:bCs w:val="0"/>
          <w:color w:val="auto"/>
          <w:sz w:val="32"/>
          <w:szCs w:val="32"/>
          <w:highlight w:val="none"/>
          <w:lang w:val="en-US" w:eastAsia="zh-CN"/>
        </w:rPr>
        <w:t>三</w:t>
      </w:r>
      <w:r>
        <w:rPr>
          <w:rFonts w:hint="eastAsia" w:ascii="楷体_GB2312" w:hAnsi="楷体_GB2312" w:eastAsia="楷体_GB2312" w:cs="楷体_GB2312"/>
          <w:b w:val="0"/>
          <w:bCs w:val="0"/>
          <w:color w:val="auto"/>
          <w:sz w:val="32"/>
          <w:szCs w:val="32"/>
          <w:highlight w:val="none"/>
          <w:lang w:eastAsia="zh-CN"/>
        </w:rPr>
        <w:t>）</w:t>
      </w:r>
      <w:r>
        <w:rPr>
          <w:rFonts w:hint="eastAsia" w:ascii="楷体_GB2312" w:hAnsi="楷体_GB2312" w:eastAsia="楷体_GB2312" w:cs="楷体_GB2312"/>
          <w:b w:val="0"/>
          <w:bCs w:val="0"/>
          <w:color w:val="auto"/>
          <w:sz w:val="32"/>
          <w:szCs w:val="32"/>
          <w:highlight w:val="none"/>
        </w:rPr>
        <w:t>构建</w:t>
      </w:r>
      <w:r>
        <w:rPr>
          <w:rFonts w:hint="eastAsia" w:ascii="楷体_GB2312" w:hAnsi="楷体_GB2312" w:eastAsia="楷体_GB2312" w:cs="楷体_GB2312"/>
          <w:b w:val="0"/>
          <w:bCs w:val="0"/>
          <w:color w:val="auto"/>
          <w:sz w:val="32"/>
          <w:szCs w:val="32"/>
          <w:highlight w:val="none"/>
          <w:lang w:val="en-US" w:eastAsia="zh-CN"/>
        </w:rPr>
        <w:t>多元</w:t>
      </w:r>
      <w:r>
        <w:rPr>
          <w:rFonts w:hint="eastAsia" w:ascii="楷体_GB2312" w:hAnsi="楷体_GB2312" w:eastAsia="楷体_GB2312" w:cs="楷体_GB2312"/>
          <w:b w:val="0"/>
          <w:bCs w:val="0"/>
          <w:color w:val="auto"/>
          <w:sz w:val="32"/>
          <w:szCs w:val="32"/>
          <w:highlight w:val="none"/>
        </w:rPr>
        <w:t>化解</w:t>
      </w:r>
      <w:r>
        <w:rPr>
          <w:rFonts w:hint="eastAsia" w:ascii="楷体_GB2312" w:hAnsi="楷体_GB2312" w:eastAsia="楷体_GB2312" w:cs="楷体_GB2312"/>
          <w:b w:val="0"/>
          <w:bCs w:val="0"/>
          <w:color w:val="auto"/>
          <w:sz w:val="32"/>
          <w:szCs w:val="32"/>
          <w:highlight w:val="none"/>
          <w:lang w:val="en-US" w:eastAsia="zh-CN"/>
        </w:rPr>
        <w:t>机制</w:t>
      </w:r>
    </w:p>
    <w:p w14:paraId="60AF076D">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kern w:val="2"/>
          <w:sz w:val="32"/>
          <w:szCs w:val="32"/>
          <w:lang w:val="en-US" w:eastAsia="zh-CN" w:bidi="ar-SA"/>
        </w:rPr>
        <w:t>1.</w:t>
      </w:r>
      <w:r>
        <w:rPr>
          <w:rFonts w:hint="eastAsia" w:ascii="仿宋_GB2312" w:hAnsi="仿宋_GB2312" w:eastAsia="仿宋_GB2312" w:cs="仿宋_GB2312"/>
          <w:color w:val="auto"/>
          <w:sz w:val="32"/>
          <w:szCs w:val="32"/>
          <w:highlight w:val="none"/>
          <w:lang w:val="en-US" w:eastAsia="zh-CN"/>
        </w:rPr>
        <w:t>建立</w:t>
      </w:r>
      <w:r>
        <w:rPr>
          <w:rFonts w:hint="eastAsia" w:ascii="仿宋_GB2312" w:hAnsi="仿宋_GB2312" w:eastAsia="仿宋_GB2312" w:cs="仿宋_GB2312"/>
          <w:color w:val="auto"/>
          <w:sz w:val="32"/>
          <w:szCs w:val="32"/>
          <w:highlight w:val="none"/>
        </w:rPr>
        <w:t>“12345+市场监管”联动</w:t>
      </w:r>
      <w:r>
        <w:rPr>
          <w:rFonts w:hint="eastAsia" w:ascii="仿宋_GB2312" w:hAnsi="仿宋_GB2312" w:eastAsia="仿宋_GB2312" w:cs="仿宋_GB2312"/>
          <w:color w:val="auto"/>
          <w:sz w:val="32"/>
          <w:szCs w:val="32"/>
          <w:highlight w:val="none"/>
          <w:lang w:val="en-US" w:eastAsia="zh-CN"/>
        </w:rPr>
        <w:t>处理机制</w:t>
      </w:r>
    </w:p>
    <w:p w14:paraId="3B550C9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打通12345政务热线与各行业主管部门的信息壁垒，形成联合处理机制，实现诉求“接诉即办”，</w:t>
      </w:r>
      <w:r>
        <w:rPr>
          <w:rFonts w:hint="eastAsia" w:ascii="仿宋_GB2312" w:hAnsi="仿宋_GB2312" w:eastAsia="仿宋_GB2312" w:cs="仿宋_GB2312"/>
          <w:color w:val="auto"/>
          <w:sz w:val="32"/>
          <w:szCs w:val="32"/>
          <w:highlight w:val="none"/>
        </w:rPr>
        <w:t>确保</w:t>
      </w:r>
      <w:r>
        <w:rPr>
          <w:rFonts w:hint="eastAsia" w:ascii="仿宋_GB2312" w:hAnsi="仿宋_GB2312" w:eastAsia="仿宋_GB2312" w:cs="仿宋_GB2312"/>
          <w:color w:val="auto"/>
          <w:sz w:val="32"/>
          <w:szCs w:val="32"/>
          <w:highlight w:val="none"/>
          <w:lang w:val="en-US" w:eastAsia="zh-CN"/>
        </w:rPr>
        <w:t>及时</w:t>
      </w:r>
      <w:r>
        <w:rPr>
          <w:rFonts w:hint="eastAsia" w:ascii="仿宋_GB2312" w:hAnsi="仿宋_GB2312" w:eastAsia="仿宋_GB2312" w:cs="仿宋_GB2312"/>
          <w:color w:val="auto"/>
          <w:sz w:val="32"/>
          <w:szCs w:val="32"/>
          <w:highlight w:val="none"/>
        </w:rPr>
        <w:t>响应消费者</w:t>
      </w:r>
      <w:r>
        <w:rPr>
          <w:rFonts w:hint="eastAsia" w:ascii="仿宋_GB2312" w:hAnsi="仿宋_GB2312" w:eastAsia="仿宋_GB2312" w:cs="仿宋_GB2312"/>
          <w:color w:val="auto"/>
          <w:sz w:val="32"/>
          <w:szCs w:val="32"/>
          <w:highlight w:val="none"/>
          <w:lang w:val="en-US" w:eastAsia="zh-CN"/>
        </w:rPr>
        <w:t>诉求，形成“诉求驱动-精准监管-行业规范”的良性循环。</w:t>
      </w:r>
    </w:p>
    <w:p w14:paraId="415448E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2.创新</w:t>
      </w:r>
      <w:r>
        <w:rPr>
          <w:rFonts w:hint="eastAsia" w:ascii="仿宋_GB2312" w:hAnsi="仿宋_GB2312" w:eastAsia="仿宋_GB2312" w:cs="仿宋_GB2312"/>
          <w:color w:val="auto"/>
          <w:sz w:val="32"/>
          <w:szCs w:val="32"/>
          <w:highlight w:val="none"/>
        </w:rPr>
        <w:t>“一站式”纠纷调解</w:t>
      </w:r>
      <w:r>
        <w:rPr>
          <w:rFonts w:hint="eastAsia" w:ascii="仿宋_GB2312" w:hAnsi="仿宋_GB2312" w:eastAsia="仿宋_GB2312" w:cs="仿宋_GB2312"/>
          <w:color w:val="auto"/>
          <w:sz w:val="32"/>
          <w:szCs w:val="32"/>
          <w:highlight w:val="none"/>
          <w:lang w:val="en-US" w:eastAsia="zh-CN"/>
        </w:rPr>
        <w:t>机制</w:t>
      </w:r>
      <w:r>
        <w:rPr>
          <w:rFonts w:hint="eastAsia" w:ascii="仿宋_GB2312" w:hAnsi="仿宋_GB2312" w:eastAsia="仿宋_GB2312" w:cs="仿宋_GB2312"/>
          <w:color w:val="auto"/>
          <w:sz w:val="32"/>
          <w:szCs w:val="32"/>
          <w:highlight w:val="none"/>
        </w:rPr>
        <w:t xml:space="preserve"> </w:t>
      </w:r>
    </w:p>
    <w:p w14:paraId="6C4CE71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在有统一管理方的商圈商场建立消费维权站，统一处理投诉，通过行业自律来提高服务质量和保护消费者合法权益，商务、市监等部门要做好监督指导。</w:t>
      </w:r>
    </w:p>
    <w:p w14:paraId="5579EAF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rPr>
        <w:t>集体诉讼与公益诉讼</w:t>
      </w:r>
      <w:r>
        <w:rPr>
          <w:rFonts w:hint="eastAsia" w:ascii="仿宋_GB2312" w:hAnsi="仿宋_GB2312" w:eastAsia="仿宋_GB2312" w:cs="仿宋_GB2312"/>
          <w:color w:val="auto"/>
          <w:sz w:val="32"/>
          <w:szCs w:val="32"/>
          <w:highlight w:val="none"/>
          <w:lang w:val="en-US" w:eastAsia="zh-CN"/>
        </w:rPr>
        <w:t>化解机制</w:t>
      </w:r>
    </w:p>
    <w:p w14:paraId="3CBD7788">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bidi="ar"/>
        </w:rPr>
        <w:t>区政府设立“为民司法维权”专项资金，加强</w:t>
      </w:r>
      <w:r>
        <w:rPr>
          <w:rFonts w:hint="eastAsia" w:ascii="仿宋_GB2312" w:hAnsi="仿宋_GB2312" w:eastAsia="仿宋_GB2312" w:cs="仿宋_GB2312"/>
          <w:color w:val="auto"/>
          <w:sz w:val="32"/>
          <w:szCs w:val="32"/>
          <w:highlight w:val="none"/>
        </w:rPr>
        <w:t>司法联动</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联合法院、检察院建立诉调对接机制，对恶意逃债商家追究民事及刑事责任</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kern w:val="0"/>
          <w:sz w:val="32"/>
          <w:szCs w:val="32"/>
          <w:highlight w:val="none"/>
          <w:lang w:val="en-US" w:eastAsia="zh-CN" w:bidi="ar"/>
        </w:rPr>
        <w:t>积极引导并帮助受害群众通过集体诉讼等司法途径寻求救济。</w:t>
      </w:r>
    </w:p>
    <w:p w14:paraId="48788133">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四、工作安排</w:t>
      </w:r>
    </w:p>
    <w:p w14:paraId="0A0FEF0F">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楷体_GB2312" w:hAnsi="楷体_GB2312" w:eastAsia="楷体_GB2312" w:cs="楷体_GB2312"/>
          <w:b w:val="0"/>
          <w:bCs w:val="0"/>
          <w:color w:val="auto"/>
          <w:sz w:val="32"/>
          <w:szCs w:val="32"/>
          <w:highlight w:val="none"/>
          <w:lang w:val="en-US" w:eastAsia="zh-CN"/>
        </w:rPr>
      </w:pPr>
      <w:r>
        <w:rPr>
          <w:rFonts w:hint="eastAsia" w:ascii="楷体_GB2312" w:hAnsi="楷体_GB2312" w:eastAsia="楷体_GB2312" w:cs="楷体_GB2312"/>
          <w:b w:val="0"/>
          <w:bCs w:val="0"/>
          <w:color w:val="auto"/>
          <w:sz w:val="32"/>
          <w:szCs w:val="32"/>
          <w:highlight w:val="none"/>
          <w:lang w:val="en-US" w:eastAsia="zh-CN"/>
        </w:rPr>
        <w:t>（一）动员摸排阶段（自2025年7月17日至7月31日）</w:t>
      </w:r>
    </w:p>
    <w:p w14:paraId="7BD67A24">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left"/>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t>召开联席会议，明确部门分工</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各部门要在主管行业领域广泛动员商户、</w:t>
      </w:r>
      <w:r>
        <w:rPr>
          <w:rFonts w:hint="eastAsia" w:ascii="仿宋_GB2312" w:hAnsi="仿宋_GB2312" w:eastAsia="仿宋_GB2312" w:cs="仿宋_GB2312"/>
          <w:i w:val="0"/>
          <w:iCs w:val="0"/>
          <w:caps w:val="0"/>
          <w:color w:val="auto"/>
          <w:spacing w:val="0"/>
          <w:sz w:val="32"/>
          <w:szCs w:val="32"/>
          <w:highlight w:val="none"/>
          <w:shd w:val="clear" w:color="auto" w:fill="FFFFFF"/>
          <w:lang w:val="en-US" w:eastAsia="zh-CN"/>
        </w:rPr>
        <w:t>定期摸排</w:t>
      </w:r>
      <w:r>
        <w:rPr>
          <w:rFonts w:hint="eastAsia" w:ascii="仿宋_GB2312" w:hAnsi="仿宋_GB2312" w:eastAsia="仿宋_GB2312" w:cs="仿宋_GB2312"/>
          <w:color w:val="auto"/>
          <w:sz w:val="32"/>
          <w:szCs w:val="32"/>
          <w:highlight w:val="none"/>
          <w:lang w:val="en-US" w:eastAsia="zh-CN"/>
        </w:rPr>
        <w:t>情况、加强教育宣传</w:t>
      </w:r>
      <w:r>
        <w:rPr>
          <w:rFonts w:hint="eastAsia" w:ascii="仿宋_GB2312" w:hAnsi="仿宋_GB2312" w:eastAsia="仿宋_GB2312" w:cs="仿宋_GB2312"/>
          <w:i w:val="0"/>
          <w:iCs w:val="0"/>
          <w:caps w:val="0"/>
          <w:color w:val="auto"/>
          <w:spacing w:val="0"/>
          <w:sz w:val="32"/>
          <w:szCs w:val="32"/>
          <w:highlight w:val="none"/>
          <w:shd w:val="clear" w:color="auto" w:fill="FFFFFF"/>
          <w:lang w:val="en-US" w:eastAsia="zh-CN"/>
        </w:rPr>
        <w:t>等工作</w:t>
      </w:r>
      <w:r>
        <w:rPr>
          <w:rFonts w:hint="eastAsia" w:ascii="仿宋_GB2312" w:hAnsi="仿宋_GB2312" w:eastAsia="仿宋_GB2312" w:cs="仿宋_GB2312"/>
          <w:i w:val="0"/>
          <w:iCs w:val="0"/>
          <w:caps w:val="0"/>
          <w:color w:val="auto"/>
          <w:spacing w:val="0"/>
          <w:sz w:val="32"/>
          <w:szCs w:val="32"/>
          <w:highlight w:val="none"/>
          <w:shd w:val="clear" w:color="auto" w:fill="FFFFFF"/>
        </w:rPr>
        <w:t>。</w:t>
      </w:r>
    </w:p>
    <w:p w14:paraId="0A82FA5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楷体_GB2312" w:hAnsi="楷体_GB2312" w:eastAsia="楷体_GB2312" w:cs="楷体_GB2312"/>
          <w:b w:val="0"/>
          <w:bCs w:val="0"/>
          <w:color w:val="auto"/>
          <w:sz w:val="32"/>
          <w:szCs w:val="32"/>
          <w:highlight w:val="none"/>
          <w:lang w:val="en-US" w:eastAsia="zh-CN"/>
        </w:rPr>
      </w:pPr>
      <w:r>
        <w:rPr>
          <w:rFonts w:hint="eastAsia" w:ascii="楷体_GB2312" w:hAnsi="楷体_GB2312" w:eastAsia="楷体_GB2312" w:cs="楷体_GB2312"/>
          <w:b w:val="0"/>
          <w:bCs w:val="0"/>
          <w:color w:val="auto"/>
          <w:sz w:val="32"/>
          <w:szCs w:val="32"/>
          <w:highlight w:val="none"/>
          <w:lang w:val="en-US" w:eastAsia="zh-CN"/>
        </w:rPr>
        <w:t>（二）集中整治阶段（自2025年8月1日至10月31日）</w:t>
      </w:r>
    </w:p>
    <w:p w14:paraId="469DA521">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firstLine="640" w:firstLineChars="200"/>
        <w:jc w:val="left"/>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i w:val="0"/>
          <w:iCs w:val="0"/>
          <w:caps w:val="0"/>
          <w:color w:val="auto"/>
          <w:spacing w:val="0"/>
          <w:sz w:val="32"/>
          <w:szCs w:val="32"/>
          <w:highlight w:val="none"/>
          <w:shd w:val="clear" w:color="auto" w:fill="FFFFFF"/>
          <w:lang w:val="en-US" w:eastAsia="zh-CN"/>
        </w:rPr>
        <w:t>集中力量办理一批违法案件，惩治一批违法行为，</w:t>
      </w:r>
      <w:r>
        <w:rPr>
          <w:rFonts w:hint="eastAsia" w:ascii="仿宋_GB2312" w:hAnsi="仿宋_GB2312" w:eastAsia="仿宋_GB2312" w:cs="仿宋_GB2312"/>
          <w:i w:val="0"/>
          <w:iCs w:val="0"/>
          <w:caps w:val="0"/>
          <w:color w:val="auto"/>
          <w:spacing w:val="0"/>
          <w:sz w:val="32"/>
          <w:szCs w:val="32"/>
          <w:highlight w:val="none"/>
          <w:shd w:val="clear" w:color="auto" w:fill="FFFFFF"/>
        </w:rPr>
        <w:t>通报一批典型案例，加大</w:t>
      </w:r>
      <w:r>
        <w:rPr>
          <w:rFonts w:hint="eastAsia" w:ascii="仿宋_GB2312" w:hAnsi="仿宋_GB2312" w:eastAsia="仿宋_GB2312" w:cs="仿宋_GB2312"/>
          <w:i w:val="0"/>
          <w:iCs w:val="0"/>
          <w:caps w:val="0"/>
          <w:color w:val="auto"/>
          <w:spacing w:val="0"/>
          <w:sz w:val="32"/>
          <w:szCs w:val="32"/>
          <w:highlight w:val="none"/>
          <w:shd w:val="clear" w:color="auto" w:fill="FFFFFF"/>
          <w:lang w:val="en-US" w:eastAsia="zh-CN"/>
        </w:rPr>
        <w:t>教育</w:t>
      </w:r>
      <w:r>
        <w:rPr>
          <w:rFonts w:hint="eastAsia" w:ascii="仿宋_GB2312" w:hAnsi="仿宋_GB2312" w:eastAsia="仿宋_GB2312" w:cs="仿宋_GB2312"/>
          <w:i w:val="0"/>
          <w:iCs w:val="0"/>
          <w:caps w:val="0"/>
          <w:color w:val="auto"/>
          <w:spacing w:val="0"/>
          <w:sz w:val="32"/>
          <w:szCs w:val="32"/>
          <w:highlight w:val="none"/>
          <w:shd w:val="clear" w:color="auto" w:fill="FFFFFF"/>
        </w:rPr>
        <w:t>震慑作用。</w:t>
      </w:r>
    </w:p>
    <w:p w14:paraId="4E2BF7C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楷体_GB2312" w:hAnsi="楷体_GB2312" w:eastAsia="楷体_GB2312" w:cs="楷体_GB2312"/>
          <w:b w:val="0"/>
          <w:bCs w:val="0"/>
          <w:color w:val="auto"/>
          <w:sz w:val="32"/>
          <w:szCs w:val="32"/>
          <w:highlight w:val="none"/>
          <w:lang w:val="en-US" w:eastAsia="zh-CN"/>
        </w:rPr>
      </w:pPr>
      <w:r>
        <w:rPr>
          <w:rFonts w:hint="eastAsia" w:ascii="楷体_GB2312" w:hAnsi="楷体_GB2312" w:eastAsia="楷体_GB2312" w:cs="楷体_GB2312"/>
          <w:b w:val="0"/>
          <w:bCs w:val="0"/>
          <w:color w:val="auto"/>
          <w:sz w:val="32"/>
          <w:szCs w:val="32"/>
          <w:highlight w:val="none"/>
          <w:lang w:val="en-US" w:eastAsia="zh-CN"/>
        </w:rPr>
        <w:t>（三）加强巩固阶段（自2025年11月1日至12月31日）</w:t>
      </w:r>
    </w:p>
    <w:p w14:paraId="579212E4">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firstLine="640" w:firstLineChars="200"/>
        <w:jc w:val="left"/>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i w:val="0"/>
          <w:iCs w:val="0"/>
          <w:caps w:val="0"/>
          <w:color w:val="auto"/>
          <w:spacing w:val="0"/>
          <w:sz w:val="32"/>
          <w:szCs w:val="32"/>
          <w:highlight w:val="none"/>
          <w:shd w:val="clear" w:color="auto" w:fill="FFFFFF"/>
        </w:rPr>
        <w:t>总结提炼专项治理成效经验，</w:t>
      </w:r>
      <w:r>
        <w:rPr>
          <w:rFonts w:hint="eastAsia" w:ascii="仿宋_GB2312" w:hAnsi="仿宋_GB2312" w:eastAsia="仿宋_GB2312" w:cs="仿宋_GB2312"/>
          <w:i w:val="0"/>
          <w:iCs w:val="0"/>
          <w:caps w:val="0"/>
          <w:color w:val="auto"/>
          <w:spacing w:val="0"/>
          <w:sz w:val="32"/>
          <w:szCs w:val="32"/>
          <w:highlight w:val="none"/>
          <w:shd w:val="clear" w:color="auto" w:fill="FFFFFF"/>
          <w:lang w:val="en-US" w:eastAsia="zh-CN"/>
        </w:rPr>
        <w:t>根据整治情况</w:t>
      </w:r>
      <w:r>
        <w:rPr>
          <w:rFonts w:hint="eastAsia" w:ascii="仿宋_GB2312" w:hAnsi="仿宋_GB2312" w:eastAsia="仿宋_GB2312" w:cs="仿宋_GB2312"/>
          <w:i w:val="0"/>
          <w:iCs w:val="0"/>
          <w:caps w:val="0"/>
          <w:color w:val="auto"/>
          <w:spacing w:val="0"/>
          <w:sz w:val="32"/>
          <w:szCs w:val="32"/>
          <w:highlight w:val="none"/>
          <w:shd w:val="clear" w:color="auto" w:fill="FFFFFF"/>
        </w:rPr>
        <w:t>完善工作举措，巩固治理成果，形成更为完善、更有力度的长效治理机制。</w:t>
      </w:r>
    </w:p>
    <w:p w14:paraId="6065328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left"/>
        <w:textAlignment w:val="auto"/>
        <w:outlineLvl w:val="2"/>
        <w:rPr>
          <w:rFonts w:hint="eastAsia" w:ascii="黑体" w:hAnsi="黑体" w:eastAsia="黑体" w:cs="黑体"/>
          <w:b w:val="0"/>
          <w:bCs w:val="0"/>
          <w:color w:val="auto"/>
          <w:kern w:val="0"/>
          <w:sz w:val="32"/>
          <w:szCs w:val="32"/>
          <w:highlight w:val="none"/>
          <w:lang w:val="en-US" w:eastAsia="zh-CN" w:bidi="ar"/>
        </w:rPr>
      </w:pPr>
      <w:r>
        <w:rPr>
          <w:rFonts w:hint="eastAsia" w:ascii="黑体" w:hAnsi="黑体" w:eastAsia="黑体" w:cs="黑体"/>
          <w:b w:val="0"/>
          <w:bCs w:val="0"/>
          <w:color w:val="auto"/>
          <w:kern w:val="0"/>
          <w:sz w:val="32"/>
          <w:szCs w:val="32"/>
          <w:highlight w:val="none"/>
          <w:lang w:val="en-US" w:eastAsia="zh-CN" w:bidi="ar"/>
        </w:rPr>
        <w:t>五、工作要求</w:t>
      </w:r>
    </w:p>
    <w:p w14:paraId="4F9CF6B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宋体" w:eastAsia="仿宋_GB2312" w:cs="仿宋_GB2312"/>
          <w:color w:val="auto"/>
          <w:kern w:val="0"/>
          <w:sz w:val="32"/>
          <w:szCs w:val="32"/>
          <w:highlight w:val="none"/>
          <w:lang w:val="en-US" w:eastAsia="zh-CN" w:bidi="ar"/>
        </w:rPr>
      </w:pPr>
      <w:r>
        <w:rPr>
          <w:rFonts w:hint="eastAsia" w:ascii="仿宋_GB2312" w:hAnsi="仿宋_GB2312" w:eastAsia="仿宋_GB2312" w:cs="仿宋_GB2312"/>
          <w:b w:val="0"/>
          <w:bCs w:val="0"/>
          <w:color w:val="auto"/>
          <w:sz w:val="32"/>
          <w:szCs w:val="32"/>
          <w:highlight w:val="none"/>
          <w:lang w:val="en-US" w:eastAsia="zh-CN"/>
        </w:rPr>
        <w:t>一是健全工作机制。定期召开联席会议，调度推进重点工作。二是加强队伍建设。开展业务培训，提升工作能力和服务水平。对工作不力的单位或个人视情况追责问责。三是营造良好氛围。坚决打击违法行为，曝光典型案例，实现“打击一批、震慑一批、警示一批”的效果，营造优化服务、和谐稳定的良好营商氛围。</w:t>
      </w:r>
    </w:p>
    <w:p w14:paraId="5D7A2813">
      <w:pPr>
        <w:keepNext w:val="0"/>
        <w:keepLines w:val="0"/>
        <w:pageBreakBefore w:val="0"/>
        <w:widowControl w:val="0"/>
        <w:kinsoku/>
        <w:wordWrap/>
        <w:overflowPunct/>
        <w:topLinePunct w:val="0"/>
        <w:autoSpaceDE/>
        <w:autoSpaceDN/>
        <w:bidi w:val="0"/>
        <w:adjustRightInd/>
        <w:snapToGrid/>
        <w:spacing w:line="600" w:lineRule="exact"/>
        <w:textAlignment w:val="auto"/>
        <w:rPr>
          <w:rFonts w:ascii="Times New Roman" w:hAnsi="Times New Roman" w:eastAsia="宋体" w:cs="Times New Roman"/>
          <w:szCs w:val="20"/>
        </w:rPr>
      </w:pPr>
    </w:p>
    <w:p w14:paraId="6CC61DE9">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center"/>
        <w:textAlignment w:val="auto"/>
        <w:rPr>
          <w:rFonts w:hint="eastAsia" w:ascii="仿宋_GB2312" w:hAnsi="仿宋_GB2312" w:eastAsia="仿宋_GB2312" w:cs="仿宋_GB2312"/>
          <w:color w:val="000000"/>
          <w:sz w:val="32"/>
          <w:szCs w:val="32"/>
        </w:rPr>
      </w:pPr>
    </w:p>
    <w:p w14:paraId="5C54969A">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center"/>
        <w:textAlignment w:val="auto"/>
        <w:rPr>
          <w:rFonts w:hint="eastAsia" w:ascii="仿宋_GB2312" w:hAnsi="仿宋_GB2312" w:eastAsia="仿宋_GB2312" w:cs="仿宋_GB2312"/>
          <w:color w:val="000000"/>
          <w:sz w:val="32"/>
          <w:szCs w:val="32"/>
        </w:rPr>
      </w:pPr>
    </w:p>
    <w:p w14:paraId="1CD21632">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center"/>
        <w:textAlignment w:val="auto"/>
        <w:rPr>
          <w:rFonts w:hint="eastAsia" w:ascii="仿宋_GB2312" w:hAnsi="仿宋_GB2312" w:eastAsia="仿宋_GB2312" w:cs="仿宋_GB2312"/>
          <w:color w:val="000000"/>
          <w:sz w:val="32"/>
          <w:szCs w:val="32"/>
        </w:rPr>
      </w:pPr>
    </w:p>
    <w:p w14:paraId="23E6FE4F">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center"/>
        <w:textAlignment w:val="auto"/>
        <w:rPr>
          <w:rFonts w:hint="eastAsia" w:ascii="仿宋_GB2312" w:hAnsi="仿宋_GB2312" w:eastAsia="仿宋_GB2312" w:cs="仿宋_GB2312"/>
          <w:color w:val="000000"/>
          <w:sz w:val="32"/>
          <w:szCs w:val="32"/>
        </w:rPr>
      </w:pPr>
    </w:p>
    <w:p w14:paraId="2BC90BBB">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仿宋_GB2312" w:hAnsi="仿宋_GB2312" w:eastAsia="仿宋_GB2312" w:cs="仿宋_GB2312"/>
          <w:color w:val="000000"/>
          <w:sz w:val="32"/>
          <w:szCs w:val="32"/>
        </w:rPr>
      </w:pPr>
    </w:p>
    <w:p w14:paraId="17DB7D68">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仿宋_GB2312" w:hAnsi="仿宋_GB2312" w:eastAsia="仿宋_GB2312" w:cs="仿宋_GB2312"/>
          <w:color w:val="000000"/>
          <w:sz w:val="32"/>
          <w:szCs w:val="32"/>
        </w:rPr>
      </w:pPr>
    </w:p>
    <w:p w14:paraId="60C6ACC4">
      <w:pPr>
        <w:ind w:firstLine="210" w:firstLineChars="100"/>
        <w:rPr>
          <w:rFonts w:hint="default"/>
          <w:lang w:val="en-US" w:eastAsia="zh-CN"/>
        </w:rPr>
      </w:pPr>
    </w:p>
    <w:sectPr>
      <w:headerReference r:id="rId4" w:type="default"/>
      <w:footerReference r:id="rId5" w:type="default"/>
      <w:pgSz w:w="11906" w:h="16838"/>
      <w:pgMar w:top="2041" w:right="1531" w:bottom="2041" w:left="1531" w:header="851" w:footer="992" w:gutter="0"/>
      <w:pgNumType w:fmt="numberInDash"/>
      <w:cols w:space="0" w:num="1"/>
      <w:formProt w:val="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2"/>
    <w:family w:val="auto"/>
    <w:pitch w:val="default"/>
    <w:sig w:usb0="E0002AFF" w:usb1="C0007841" w:usb2="00000009" w:usb3="00000000" w:csb0="400001FF" w:csb1="FFFF0000"/>
  </w:font>
  <w:font w:name="宋体">
    <w:panose1 w:val="02010600030101010101"/>
    <w:charset w:val="7A"/>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4ABF9387-0E0A-4107-B085-0567AD95BD29}"/>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01ADE981-BAD2-49FA-A8D6-A3BB58AD2092}"/>
  </w:font>
  <w:font w:name="仿宋_GB2312">
    <w:panose1 w:val="02010609030101010101"/>
    <w:charset w:val="86"/>
    <w:family w:val="auto"/>
    <w:pitch w:val="default"/>
    <w:sig w:usb0="00000001" w:usb1="080E0000" w:usb2="00000000" w:usb3="00000000" w:csb0="00040000" w:csb1="00000000"/>
    <w:embedRegular r:id="rId3" w:fontKey="{13C71A40-32A9-4CDE-A005-03E118644274}"/>
  </w:font>
  <w:font w:name="Calibri Light">
    <w:panose1 w:val="020F0302020204030204"/>
    <w:charset w:val="00"/>
    <w:family w:val="swiss"/>
    <w:pitch w:val="default"/>
    <w:sig w:usb0="A00002EF" w:usb1="4000207B" w:usb2="00000000" w:usb3="00000000" w:csb0="2000019F" w:csb1="00000000"/>
  </w:font>
  <w:font w:name="华文细黑">
    <w:altName w:val="微软雅黑"/>
    <w:panose1 w:val="02010600040101010101"/>
    <w:charset w:val="86"/>
    <w:family w:val="auto"/>
    <w:pitch w:val="default"/>
    <w:sig w:usb0="00000000" w:usb1="00000000" w:usb2="00000000" w:usb3="00000000" w:csb0="0004009F" w:csb1="DFD70000"/>
  </w:font>
  <w:font w:name="微软雅黑">
    <w:panose1 w:val="020B0503020204020204"/>
    <w:charset w:val="86"/>
    <w:family w:val="auto"/>
    <w:pitch w:val="default"/>
    <w:sig w:usb0="80000287" w:usb1="280F3C52" w:usb2="00000016" w:usb3="00000000" w:csb0="0004001F" w:csb1="00000000"/>
  </w:font>
  <w:font w:name="方正小标宋简体">
    <w:panose1 w:val="03000509000000000000"/>
    <w:charset w:val="86"/>
    <w:family w:val="script"/>
    <w:pitch w:val="default"/>
    <w:sig w:usb0="00000001" w:usb1="080E0000" w:usb2="00000000" w:usb3="00000000" w:csb0="00040000" w:csb1="00000000"/>
    <w:embedRegular r:id="rId4" w:fontKey="{990DF15D-A544-4893-8C8C-EACA7A0A7BC1}"/>
  </w:font>
  <w:font w:name="方正楷体_GB2312">
    <w:panose1 w:val="02000000000000000000"/>
    <w:charset w:val="86"/>
    <w:family w:val="auto"/>
    <w:pitch w:val="default"/>
    <w:sig w:usb0="A00002BF" w:usb1="184F6CFA" w:usb2="00000012" w:usb3="00000000" w:csb0="00040001" w:csb1="00000000"/>
    <w:embedRegular r:id="rId5" w:fontKey="{19DA9121-036C-4177-8FD2-F2CC0300AA87}"/>
  </w:font>
  <w:font w:name="楷体_GB2312">
    <w:panose1 w:val="02010609030101010101"/>
    <w:charset w:val="86"/>
    <w:family w:val="auto"/>
    <w:pitch w:val="default"/>
    <w:sig w:usb0="00000001" w:usb1="080E0000" w:usb2="00000000" w:usb3="00000000" w:csb0="00040000" w:csb1="00000000"/>
    <w:embedRegular r:id="rId6" w:fontKey="{BD0BFB3A-44B5-47D9-800C-588CBFF3BC5A}"/>
  </w:font>
  <w:font w:name="WPSEMBED1">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8D5CF6">
    <w:pPr>
      <w:widowControl w:val="0"/>
      <w:snapToGrid w:val="0"/>
      <w:jc w:val="left"/>
      <w:rPr>
        <w:rFonts w:hint="eastAsia" w:ascii="宋体" w:hAnsi="宋体" w:eastAsia="宋体" w:cs="宋体"/>
        <w:kern w:val="2"/>
        <w:sz w:val="28"/>
        <w:szCs w:val="44"/>
        <w:lang w:val="en-US" w:eastAsia="zh-CN" w:bidi="ar-SA"/>
      </w:rPr>
    </w:pPr>
    <w:r>
      <w:rPr>
        <w:rFonts w:hint="eastAsia" w:ascii="宋体" w:hAnsi="宋体" w:eastAsia="宋体" w:cs="宋体"/>
        <w:kern w:val="2"/>
        <w:sz w:val="28"/>
        <w:szCs w:val="44"/>
        <w:lang w:val="en-US" w:eastAsia="zh-CN" w:bidi="ar-SA"/>
      </w:rPr>
      <mc:AlternateContent>
        <mc:Choice Requires="wps">
          <w:drawing>
            <wp:anchor distT="0" distB="0" distL="114300" distR="114300" simplePos="0" relativeHeight="251660288" behindDoc="0" locked="0" layoutInCell="1" allowOverlap="1">
              <wp:simplePos x="0" y="0"/>
              <wp:positionH relativeFrom="margin">
                <wp:posOffset>5172075</wp:posOffset>
              </wp:positionH>
              <wp:positionV relativeFrom="paragraph">
                <wp:posOffset>-130175</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4B152A0">
                          <w:pPr>
                            <w:widowControl w:val="0"/>
                            <w:snapToGrid w:val="0"/>
                            <w:jc w:val="left"/>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 PAGE  \* MERGEFORMAT </w:instrText>
                          </w:r>
                          <w:r>
                            <w:rPr>
                              <w:rFonts w:hint="eastAsia" w:ascii="宋体" w:hAnsi="宋体" w:eastAsia="宋体" w:cs="宋体"/>
                              <w:kern w:val="2"/>
                              <w:sz w:val="28"/>
                              <w:szCs w:val="28"/>
                              <w:lang w:val="en-US" w:eastAsia="zh-CN" w:bidi="ar-SA"/>
                            </w:rPr>
                            <w:fldChar w:fldCharType="separate"/>
                          </w:r>
                          <w:r>
                            <w:rPr>
                              <w:rFonts w:hint="eastAsia" w:ascii="宋体" w:hAnsi="宋体" w:eastAsia="宋体" w:cs="宋体"/>
                              <w:kern w:val="2"/>
                              <w:sz w:val="28"/>
                              <w:szCs w:val="28"/>
                              <w:lang w:val="en-US" w:eastAsia="zh-CN" w:bidi="ar-SA"/>
                            </w:rPr>
                            <w:t>1</w:t>
                          </w:r>
                          <w:r>
                            <w:rPr>
                              <w:rFonts w:hint="eastAsia" w:ascii="宋体" w:hAnsi="宋体" w:eastAsia="宋体" w:cs="宋体"/>
                              <w:kern w:val="2"/>
                              <w:sz w:val="28"/>
                              <w:szCs w:val="28"/>
                              <w:lang w:val="en-US" w:eastAsia="zh-CN" w:bidi="ar-SA"/>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left:407.25pt;margin-top:-10.25pt;height:144pt;width:144pt;mso-position-horizontal-relative:margin;mso-wrap-style:none;z-index:251660288;mso-width-relative:page;mso-height-relative:page;" filled="f" stroked="f" coordsize="21600,21600" o:gfxdata="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tXRYMdcAAAAMAQAADwAAAAAAAAABACAAAAAiAAAAZHJzL2Rv&#10;d25yZXYueG1sUEsBAhQAFAAAAAgAh07iQARvkKDJAQAAmQMAAA4AAAAAAAAAAQAgAAAAJgEAAGRy&#10;cy9lMm9Eb2MueG1sUEsFBgAAAAAGAAYAWQEAAGEFAAAAAA==&#10;">
              <v:fill on="f" focussize="0,0"/>
              <v:stroke on="f"/>
              <v:imagedata o:title=""/>
              <o:lock v:ext="edit" aspectratio="f"/>
              <v:textbox inset="0mm,0mm,0mm,0mm" style="mso-fit-shape-to-text:t;">
                <w:txbxContent>
                  <w:p w14:paraId="34B152A0">
                    <w:pPr>
                      <w:widowControl w:val="0"/>
                      <w:snapToGrid w:val="0"/>
                      <w:jc w:val="left"/>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 PAGE  \* MERGEFORMAT </w:instrText>
                    </w:r>
                    <w:r>
                      <w:rPr>
                        <w:rFonts w:hint="eastAsia" w:ascii="宋体" w:hAnsi="宋体" w:eastAsia="宋体" w:cs="宋体"/>
                        <w:kern w:val="2"/>
                        <w:sz w:val="28"/>
                        <w:szCs w:val="28"/>
                        <w:lang w:val="en-US" w:eastAsia="zh-CN" w:bidi="ar-SA"/>
                      </w:rPr>
                      <w:fldChar w:fldCharType="separate"/>
                    </w:r>
                    <w:r>
                      <w:rPr>
                        <w:rFonts w:hint="eastAsia" w:ascii="宋体" w:hAnsi="宋体" w:eastAsia="宋体" w:cs="宋体"/>
                        <w:kern w:val="2"/>
                        <w:sz w:val="28"/>
                        <w:szCs w:val="28"/>
                        <w:lang w:val="en-US" w:eastAsia="zh-CN" w:bidi="ar-SA"/>
                      </w:rPr>
                      <w:t>1</w:t>
                    </w:r>
                    <w:r>
                      <w:rPr>
                        <w:rFonts w:hint="eastAsia" w:ascii="宋体" w:hAnsi="宋体" w:eastAsia="宋体" w:cs="宋体"/>
                        <w:kern w:val="2"/>
                        <w:sz w:val="28"/>
                        <w:szCs w:val="28"/>
                        <w:lang w:val="en-US" w:eastAsia="zh-CN" w:bidi="ar-SA"/>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6BC439">
    <w:pPr>
      <w:pStyle w:val="9"/>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4B1ABEE">
                          <w:pPr>
                            <w:pStyle w:val="9"/>
                            <w:rPr>
                              <w:sz w:val="28"/>
                              <w:szCs w:val="28"/>
                            </w:rPr>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1</w:t>
                          </w:r>
                          <w:r>
                            <w:rPr>
                              <w:rFonts w:hint="eastAsia" w:asciiTheme="majorEastAsia" w:hAnsiTheme="majorEastAsia" w:eastAsiaTheme="majorEastAsia" w:cstheme="majorEastAsia"/>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54B1ABEE">
                    <w:pPr>
                      <w:pStyle w:val="9"/>
                      <w:rPr>
                        <w:sz w:val="28"/>
                        <w:szCs w:val="28"/>
                      </w:rPr>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1</w:t>
                    </w:r>
                    <w:r>
                      <w:rPr>
                        <w:rFonts w:hint="eastAsia" w:asciiTheme="majorEastAsia" w:hAnsiTheme="majorEastAsia" w:eastAsiaTheme="majorEastAsia" w:cstheme="majorEastAsia"/>
                        <w:sz w:val="28"/>
                        <w:szCs w:val="2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BAAEC0">
    <w:pPr>
      <w:widowControl w:val="0"/>
      <w:pBdr>
        <w:bottom w:val="none" w:color="auto" w:sz="0" w:space="0"/>
      </w:pBdr>
      <w:snapToGrid w:val="0"/>
      <w:spacing w:line="100" w:lineRule="exact"/>
      <w:jc w:val="both"/>
      <w:rPr>
        <w:rFonts w:ascii="Calibri" w:hAnsi="Calibri" w:eastAsia="宋体" w:cs="Times New Roman"/>
        <w:kern w:val="2"/>
        <w:sz w:val="18"/>
        <w:szCs w:val="18"/>
        <w:u w:val="single"/>
        <w:lang w:val="en-US" w:eastAsia="zh-CN" w:bidi="ar-SA"/>
      </w:rPr>
    </w:pPr>
    <w:r>
      <w:rPr>
        <w:rFonts w:hint="eastAsia" w:ascii="Calibri" w:hAnsi="Calibri" w:eastAsia="仿宋_GB2312" w:cs="Times New Roman"/>
        <w:kern w:val="2"/>
        <w:sz w:val="18"/>
        <w:szCs w:val="28"/>
        <w:lang w:val="en-US" w:eastAsia="zh-CN" w:bidi="ar-SA"/>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TrueTypeFonts/>
  <w:saveSubsetFonts/>
  <w:bordersDoNotSurroundHeader w:val="0"/>
  <w:bordersDoNotSurroundFooter w:val="0"/>
  <w:documentProtection w:edit="comments" w:enforcement="0"/>
  <w:defaultTabStop w:val="420"/>
  <w:drawingGridVerticalSpacing w:val="159"/>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636C459800003A22" w:val=" "/>
    <w:docVar w:name="63B77F1000004289" w:val=" "/>
    <w:docVar w:name="63B7C6A60000E10E" w:val=" "/>
    <w:docVar w:name="6788644B00008A74" w:val=" "/>
    <w:docVar w:name="67C9689C0000E605" w:val=" "/>
    <w:docVar w:name="67D3850B0000A313" w:val=" "/>
    <w:docVar w:name="67DB7C4200005919" w:val=" "/>
    <w:docVar w:name="67EC9B1D0000A456" w:val=" "/>
    <w:docVar w:name="67EC9C95000061F1" w:val=" "/>
    <w:docVar w:name="67F4D14F000053FC" w:val=" "/>
    <w:docVar w:name="67FDCA230000AAB4" w:val=" "/>
    <w:docVar w:name="681D6FC8000014A6" w:val=" "/>
    <w:docVar w:name="6823FA5900001107" w:val=" "/>
    <w:docVar w:name="68243F9000006EC6" w:val=" "/>
    <w:docVar w:name="686B6BDD0000EC34" w:val=" "/>
    <w:docVar w:name="686B704E000043B7" w:val=" "/>
    <w:docVar w:name="686CD5CE00006B75" w:val=" "/>
    <w:docVar w:name="687DE23E0000D95C" w:val=" "/>
    <w:docVar w:name="commondata" w:val="eyJoZGlkIjoiNTlkM2YwMDU0ZDQ5MjdiZWM5YjQ5NjY2ODFkOWIzN2UifQ=="/>
    <w:docVar w:name="DocGlobalSDABB" w:val="twb0A63CJpN31ojK/R/KlzeHFju313CtY12JmReXw5HKVBLYE5K3wngJeZLmdaLPX8gywJ1JMQFhjD7DFTs+3FGMPsMVOz7cUYw+wxU7PtxRjD7DFTs+3FGMPsMVOz7cUYw+wxU7PtxRjD7DFTs+3FGMPsMVOz7cUYw+wxU7PtxRjD7DFTs+3FGMPsMVOz7cUYw+wxU7PtxRAAAAAA=="/>
  </w:docVars>
  <w:rsids>
    <w:rsidRoot w:val="11A82A8A"/>
    <w:rsid w:val="0009409C"/>
    <w:rsid w:val="003C28DE"/>
    <w:rsid w:val="00417EF4"/>
    <w:rsid w:val="01645F6E"/>
    <w:rsid w:val="01C761D7"/>
    <w:rsid w:val="01FA494A"/>
    <w:rsid w:val="02115992"/>
    <w:rsid w:val="028D7421"/>
    <w:rsid w:val="02CC5385"/>
    <w:rsid w:val="02D02199"/>
    <w:rsid w:val="02E81E9C"/>
    <w:rsid w:val="031569E6"/>
    <w:rsid w:val="034F7090"/>
    <w:rsid w:val="036F731D"/>
    <w:rsid w:val="03727E03"/>
    <w:rsid w:val="03974336"/>
    <w:rsid w:val="03B1713F"/>
    <w:rsid w:val="044C6E68"/>
    <w:rsid w:val="047B17C2"/>
    <w:rsid w:val="04CE3D21"/>
    <w:rsid w:val="04ED461D"/>
    <w:rsid w:val="04FA6910"/>
    <w:rsid w:val="0508335F"/>
    <w:rsid w:val="0523406D"/>
    <w:rsid w:val="05304E7B"/>
    <w:rsid w:val="0564784B"/>
    <w:rsid w:val="058B0C60"/>
    <w:rsid w:val="05E11D32"/>
    <w:rsid w:val="05E50B52"/>
    <w:rsid w:val="05ED2D9C"/>
    <w:rsid w:val="06D279EC"/>
    <w:rsid w:val="06F07F7E"/>
    <w:rsid w:val="07741F99"/>
    <w:rsid w:val="077741FC"/>
    <w:rsid w:val="077E558A"/>
    <w:rsid w:val="088A41A0"/>
    <w:rsid w:val="088F530F"/>
    <w:rsid w:val="08C02FD5"/>
    <w:rsid w:val="08C16076"/>
    <w:rsid w:val="08C60E29"/>
    <w:rsid w:val="08F71A98"/>
    <w:rsid w:val="08FA1588"/>
    <w:rsid w:val="09206A07"/>
    <w:rsid w:val="09561931"/>
    <w:rsid w:val="0995305F"/>
    <w:rsid w:val="0A002A22"/>
    <w:rsid w:val="0A200B7B"/>
    <w:rsid w:val="0A2B726C"/>
    <w:rsid w:val="0AE41BA8"/>
    <w:rsid w:val="0B055EDF"/>
    <w:rsid w:val="0B223C45"/>
    <w:rsid w:val="0B2360D1"/>
    <w:rsid w:val="0B892750"/>
    <w:rsid w:val="0BA457DB"/>
    <w:rsid w:val="0BF46F3F"/>
    <w:rsid w:val="0BFC5617"/>
    <w:rsid w:val="0BFD1732"/>
    <w:rsid w:val="0C67518E"/>
    <w:rsid w:val="0C817312"/>
    <w:rsid w:val="0CCF1422"/>
    <w:rsid w:val="0D204314"/>
    <w:rsid w:val="0DA01B1D"/>
    <w:rsid w:val="0DC80545"/>
    <w:rsid w:val="0DE46363"/>
    <w:rsid w:val="0DF56DAD"/>
    <w:rsid w:val="0E18643D"/>
    <w:rsid w:val="0E236E8B"/>
    <w:rsid w:val="0E336EDA"/>
    <w:rsid w:val="0E4A44C3"/>
    <w:rsid w:val="0EB26736"/>
    <w:rsid w:val="0ECE6DDD"/>
    <w:rsid w:val="0F4D29C7"/>
    <w:rsid w:val="0F686E90"/>
    <w:rsid w:val="0F6E6841"/>
    <w:rsid w:val="102E38C6"/>
    <w:rsid w:val="1034712E"/>
    <w:rsid w:val="106B1AB1"/>
    <w:rsid w:val="1070418A"/>
    <w:rsid w:val="10B71B0D"/>
    <w:rsid w:val="10B82071"/>
    <w:rsid w:val="11063320"/>
    <w:rsid w:val="11484BFD"/>
    <w:rsid w:val="119939A6"/>
    <w:rsid w:val="119F2150"/>
    <w:rsid w:val="11A82A8A"/>
    <w:rsid w:val="12597320"/>
    <w:rsid w:val="13043059"/>
    <w:rsid w:val="139F20ED"/>
    <w:rsid w:val="13D96FC3"/>
    <w:rsid w:val="13E316CA"/>
    <w:rsid w:val="13E9058D"/>
    <w:rsid w:val="143A6CDD"/>
    <w:rsid w:val="144D3E77"/>
    <w:rsid w:val="14851D09"/>
    <w:rsid w:val="14AF1479"/>
    <w:rsid w:val="14E05AD6"/>
    <w:rsid w:val="14F50E56"/>
    <w:rsid w:val="150D2643"/>
    <w:rsid w:val="15377FDF"/>
    <w:rsid w:val="154D28BA"/>
    <w:rsid w:val="15DA4C68"/>
    <w:rsid w:val="15DB004C"/>
    <w:rsid w:val="166C6378"/>
    <w:rsid w:val="16780CF9"/>
    <w:rsid w:val="16B22FF7"/>
    <w:rsid w:val="17534CCC"/>
    <w:rsid w:val="177F74FC"/>
    <w:rsid w:val="179F377F"/>
    <w:rsid w:val="17B83D0A"/>
    <w:rsid w:val="17ED728E"/>
    <w:rsid w:val="17FC4796"/>
    <w:rsid w:val="1803645D"/>
    <w:rsid w:val="180513B0"/>
    <w:rsid w:val="183F6F76"/>
    <w:rsid w:val="192932EA"/>
    <w:rsid w:val="194372B1"/>
    <w:rsid w:val="19577C7A"/>
    <w:rsid w:val="19F33BB6"/>
    <w:rsid w:val="1A147FD0"/>
    <w:rsid w:val="1A7F66D5"/>
    <w:rsid w:val="1A862C7C"/>
    <w:rsid w:val="1A8E1608"/>
    <w:rsid w:val="1AD266C3"/>
    <w:rsid w:val="1AD62C95"/>
    <w:rsid w:val="1BA07642"/>
    <w:rsid w:val="1C274C45"/>
    <w:rsid w:val="1C5B0921"/>
    <w:rsid w:val="1C7663B8"/>
    <w:rsid w:val="1CBC465A"/>
    <w:rsid w:val="1D1F47AD"/>
    <w:rsid w:val="1D4430D9"/>
    <w:rsid w:val="1D61352C"/>
    <w:rsid w:val="1D7A1BAF"/>
    <w:rsid w:val="1D940C4B"/>
    <w:rsid w:val="1DB45D52"/>
    <w:rsid w:val="1E2702D2"/>
    <w:rsid w:val="1E412D18"/>
    <w:rsid w:val="1E784F88"/>
    <w:rsid w:val="1E8629B0"/>
    <w:rsid w:val="1E9D0594"/>
    <w:rsid w:val="1EEB4FC1"/>
    <w:rsid w:val="1EF86B62"/>
    <w:rsid w:val="1EFE711A"/>
    <w:rsid w:val="1F181690"/>
    <w:rsid w:val="1F300C3B"/>
    <w:rsid w:val="1FA621D6"/>
    <w:rsid w:val="1FA80B45"/>
    <w:rsid w:val="1FD04999"/>
    <w:rsid w:val="1FDE1CEF"/>
    <w:rsid w:val="1FEF3B91"/>
    <w:rsid w:val="207812B9"/>
    <w:rsid w:val="20E80057"/>
    <w:rsid w:val="20F27D13"/>
    <w:rsid w:val="21182154"/>
    <w:rsid w:val="213127B0"/>
    <w:rsid w:val="218D5B38"/>
    <w:rsid w:val="21987E11"/>
    <w:rsid w:val="21EF53FD"/>
    <w:rsid w:val="220C549D"/>
    <w:rsid w:val="22242F98"/>
    <w:rsid w:val="22EA7B20"/>
    <w:rsid w:val="22FA2063"/>
    <w:rsid w:val="230177BD"/>
    <w:rsid w:val="23085188"/>
    <w:rsid w:val="238166D6"/>
    <w:rsid w:val="238546D6"/>
    <w:rsid w:val="23BF6EB5"/>
    <w:rsid w:val="23E02D14"/>
    <w:rsid w:val="24686930"/>
    <w:rsid w:val="24D80578"/>
    <w:rsid w:val="24F91B96"/>
    <w:rsid w:val="2501742F"/>
    <w:rsid w:val="250E41F3"/>
    <w:rsid w:val="252C4420"/>
    <w:rsid w:val="25377DCF"/>
    <w:rsid w:val="25AE3087"/>
    <w:rsid w:val="25B5740E"/>
    <w:rsid w:val="25BA7A55"/>
    <w:rsid w:val="25CD17C3"/>
    <w:rsid w:val="25F44DA0"/>
    <w:rsid w:val="2621539B"/>
    <w:rsid w:val="26610AB8"/>
    <w:rsid w:val="268920F3"/>
    <w:rsid w:val="273A290F"/>
    <w:rsid w:val="27814EF7"/>
    <w:rsid w:val="278E3170"/>
    <w:rsid w:val="27C41790"/>
    <w:rsid w:val="27DC212D"/>
    <w:rsid w:val="27F55662"/>
    <w:rsid w:val="28262702"/>
    <w:rsid w:val="28D45C09"/>
    <w:rsid w:val="292C2B01"/>
    <w:rsid w:val="29A202A6"/>
    <w:rsid w:val="29A33646"/>
    <w:rsid w:val="29E106BD"/>
    <w:rsid w:val="2A067935"/>
    <w:rsid w:val="2A1B6BD3"/>
    <w:rsid w:val="2A2C0A1E"/>
    <w:rsid w:val="2A315302"/>
    <w:rsid w:val="2A6B7798"/>
    <w:rsid w:val="2A970F6B"/>
    <w:rsid w:val="2AA73585"/>
    <w:rsid w:val="2AB90504"/>
    <w:rsid w:val="2AD22821"/>
    <w:rsid w:val="2B0B2D29"/>
    <w:rsid w:val="2B4B5034"/>
    <w:rsid w:val="2B563FA5"/>
    <w:rsid w:val="2B5B467B"/>
    <w:rsid w:val="2BCB2BA4"/>
    <w:rsid w:val="2C0559CB"/>
    <w:rsid w:val="2C7642D0"/>
    <w:rsid w:val="2C8E15B2"/>
    <w:rsid w:val="2CA87853"/>
    <w:rsid w:val="2CA927FA"/>
    <w:rsid w:val="2CAD1D23"/>
    <w:rsid w:val="2CBA721C"/>
    <w:rsid w:val="2CCA1365"/>
    <w:rsid w:val="2CD0422B"/>
    <w:rsid w:val="2CF25F4F"/>
    <w:rsid w:val="2D740F92"/>
    <w:rsid w:val="2DAE5663"/>
    <w:rsid w:val="2E2A34C6"/>
    <w:rsid w:val="2E4F710F"/>
    <w:rsid w:val="2E6A4875"/>
    <w:rsid w:val="2E951288"/>
    <w:rsid w:val="2EA9088F"/>
    <w:rsid w:val="2EE8478A"/>
    <w:rsid w:val="2EE95067"/>
    <w:rsid w:val="2F2A4E18"/>
    <w:rsid w:val="2F2D28E7"/>
    <w:rsid w:val="2F586C79"/>
    <w:rsid w:val="2F61560E"/>
    <w:rsid w:val="2F6A3587"/>
    <w:rsid w:val="2FA3126B"/>
    <w:rsid w:val="30290C5A"/>
    <w:rsid w:val="303F72AE"/>
    <w:rsid w:val="304668A7"/>
    <w:rsid w:val="30A25EDE"/>
    <w:rsid w:val="30CB27F3"/>
    <w:rsid w:val="30CE282F"/>
    <w:rsid w:val="311C17EC"/>
    <w:rsid w:val="312C6C2F"/>
    <w:rsid w:val="31D9592F"/>
    <w:rsid w:val="31EF5153"/>
    <w:rsid w:val="320D0499"/>
    <w:rsid w:val="32135C33"/>
    <w:rsid w:val="327678EE"/>
    <w:rsid w:val="32995443"/>
    <w:rsid w:val="32C01036"/>
    <w:rsid w:val="32C1602F"/>
    <w:rsid w:val="32DD7D9A"/>
    <w:rsid w:val="32E5584E"/>
    <w:rsid w:val="32E86E96"/>
    <w:rsid w:val="32F347CF"/>
    <w:rsid w:val="33002C06"/>
    <w:rsid w:val="335F58CD"/>
    <w:rsid w:val="33727412"/>
    <w:rsid w:val="337D2302"/>
    <w:rsid w:val="33997472"/>
    <w:rsid w:val="33DC5263"/>
    <w:rsid w:val="34191EB2"/>
    <w:rsid w:val="342E4006"/>
    <w:rsid w:val="349C405B"/>
    <w:rsid w:val="34B47F8E"/>
    <w:rsid w:val="34B63066"/>
    <w:rsid w:val="34BD075F"/>
    <w:rsid w:val="34E35E1B"/>
    <w:rsid w:val="35310628"/>
    <w:rsid w:val="35321DFC"/>
    <w:rsid w:val="354E492D"/>
    <w:rsid w:val="357339A5"/>
    <w:rsid w:val="35AF0E81"/>
    <w:rsid w:val="35BD4BE3"/>
    <w:rsid w:val="36372C24"/>
    <w:rsid w:val="364F77F1"/>
    <w:rsid w:val="365E171C"/>
    <w:rsid w:val="36995D2E"/>
    <w:rsid w:val="36BD07C6"/>
    <w:rsid w:val="36CF7301"/>
    <w:rsid w:val="36F8344F"/>
    <w:rsid w:val="37204ECF"/>
    <w:rsid w:val="3744073F"/>
    <w:rsid w:val="38196F21"/>
    <w:rsid w:val="38237E0F"/>
    <w:rsid w:val="3851078C"/>
    <w:rsid w:val="385C2D6F"/>
    <w:rsid w:val="38677290"/>
    <w:rsid w:val="389E342F"/>
    <w:rsid w:val="390F1C37"/>
    <w:rsid w:val="391B716E"/>
    <w:rsid w:val="399B4DCF"/>
    <w:rsid w:val="39DB054C"/>
    <w:rsid w:val="39E06446"/>
    <w:rsid w:val="39FA4695"/>
    <w:rsid w:val="3A363B0D"/>
    <w:rsid w:val="3A6B0E83"/>
    <w:rsid w:val="3A7D2122"/>
    <w:rsid w:val="3A841752"/>
    <w:rsid w:val="3AA96CE3"/>
    <w:rsid w:val="3ACC4283"/>
    <w:rsid w:val="3B167DFA"/>
    <w:rsid w:val="3B264F70"/>
    <w:rsid w:val="3B583D6A"/>
    <w:rsid w:val="3B5B1B33"/>
    <w:rsid w:val="3B883A4B"/>
    <w:rsid w:val="3B8C57C0"/>
    <w:rsid w:val="3BC1540C"/>
    <w:rsid w:val="3BD01B51"/>
    <w:rsid w:val="3BEA1F7C"/>
    <w:rsid w:val="3BF13876"/>
    <w:rsid w:val="3C0C4C91"/>
    <w:rsid w:val="3C373EEA"/>
    <w:rsid w:val="3C746980"/>
    <w:rsid w:val="3C832720"/>
    <w:rsid w:val="3D0772A1"/>
    <w:rsid w:val="3D666394"/>
    <w:rsid w:val="3D7A7FC6"/>
    <w:rsid w:val="3DBC1A54"/>
    <w:rsid w:val="3DD20301"/>
    <w:rsid w:val="3E4260CA"/>
    <w:rsid w:val="3E4F1453"/>
    <w:rsid w:val="3E5647A8"/>
    <w:rsid w:val="3E742C68"/>
    <w:rsid w:val="3E7E4E4B"/>
    <w:rsid w:val="3EAB7385"/>
    <w:rsid w:val="3ED90D1D"/>
    <w:rsid w:val="3EE3710D"/>
    <w:rsid w:val="3EF21361"/>
    <w:rsid w:val="3F204B9E"/>
    <w:rsid w:val="3F373C95"/>
    <w:rsid w:val="3F5156CB"/>
    <w:rsid w:val="3F6D76B7"/>
    <w:rsid w:val="3F9827B4"/>
    <w:rsid w:val="3FAC7966"/>
    <w:rsid w:val="3FBE72ED"/>
    <w:rsid w:val="3FD57736"/>
    <w:rsid w:val="3FD96707"/>
    <w:rsid w:val="40381A73"/>
    <w:rsid w:val="40F14573"/>
    <w:rsid w:val="41156378"/>
    <w:rsid w:val="41A9288F"/>
    <w:rsid w:val="41B45FA6"/>
    <w:rsid w:val="41C852A6"/>
    <w:rsid w:val="423358A3"/>
    <w:rsid w:val="424D73DB"/>
    <w:rsid w:val="4252745A"/>
    <w:rsid w:val="4265497C"/>
    <w:rsid w:val="42925837"/>
    <w:rsid w:val="42AD6748"/>
    <w:rsid w:val="431B5DA8"/>
    <w:rsid w:val="433C187A"/>
    <w:rsid w:val="434D31F4"/>
    <w:rsid w:val="434F6882"/>
    <w:rsid w:val="436501BA"/>
    <w:rsid w:val="43A43DF6"/>
    <w:rsid w:val="443B5FD6"/>
    <w:rsid w:val="445552E9"/>
    <w:rsid w:val="4456696C"/>
    <w:rsid w:val="445C6678"/>
    <w:rsid w:val="446C1C97"/>
    <w:rsid w:val="447F0A2F"/>
    <w:rsid w:val="44A616A1"/>
    <w:rsid w:val="44AE2C66"/>
    <w:rsid w:val="44B10046"/>
    <w:rsid w:val="44DF6990"/>
    <w:rsid w:val="44ED72D0"/>
    <w:rsid w:val="45266E38"/>
    <w:rsid w:val="4565330A"/>
    <w:rsid w:val="457019FE"/>
    <w:rsid w:val="457223A9"/>
    <w:rsid w:val="45C02C36"/>
    <w:rsid w:val="45C142B9"/>
    <w:rsid w:val="45C90DEE"/>
    <w:rsid w:val="45F12144"/>
    <w:rsid w:val="465C7A7E"/>
    <w:rsid w:val="46A2233C"/>
    <w:rsid w:val="46ED7A5B"/>
    <w:rsid w:val="46F56910"/>
    <w:rsid w:val="470007D9"/>
    <w:rsid w:val="47006F10"/>
    <w:rsid w:val="47FB62D9"/>
    <w:rsid w:val="485A2A7C"/>
    <w:rsid w:val="48D55F63"/>
    <w:rsid w:val="48E409EA"/>
    <w:rsid w:val="48EA5F1D"/>
    <w:rsid w:val="48FF538E"/>
    <w:rsid w:val="490C7F41"/>
    <w:rsid w:val="49155047"/>
    <w:rsid w:val="495E69BD"/>
    <w:rsid w:val="496454D0"/>
    <w:rsid w:val="49A34401"/>
    <w:rsid w:val="49AD5280"/>
    <w:rsid w:val="4A233794"/>
    <w:rsid w:val="4A722025"/>
    <w:rsid w:val="4B1E05CB"/>
    <w:rsid w:val="4B405979"/>
    <w:rsid w:val="4BD021D9"/>
    <w:rsid w:val="4BE46F69"/>
    <w:rsid w:val="4BEA56F1"/>
    <w:rsid w:val="4C032E5D"/>
    <w:rsid w:val="4C673E0C"/>
    <w:rsid w:val="4C712E59"/>
    <w:rsid w:val="4C901B58"/>
    <w:rsid w:val="4CAF1197"/>
    <w:rsid w:val="4CBE5242"/>
    <w:rsid w:val="4CDB4A28"/>
    <w:rsid w:val="4CEF795D"/>
    <w:rsid w:val="4D07114B"/>
    <w:rsid w:val="4D093933"/>
    <w:rsid w:val="4D2F37DC"/>
    <w:rsid w:val="4D73058E"/>
    <w:rsid w:val="4D9F3131"/>
    <w:rsid w:val="4DB33341"/>
    <w:rsid w:val="4DC43C4E"/>
    <w:rsid w:val="4DCB6977"/>
    <w:rsid w:val="4DF416CF"/>
    <w:rsid w:val="4DF80A94"/>
    <w:rsid w:val="4E3531DF"/>
    <w:rsid w:val="4E8567CB"/>
    <w:rsid w:val="4F4519D9"/>
    <w:rsid w:val="4FB51F28"/>
    <w:rsid w:val="501F67AB"/>
    <w:rsid w:val="5049429B"/>
    <w:rsid w:val="50730743"/>
    <w:rsid w:val="50B810E7"/>
    <w:rsid w:val="50FE4840"/>
    <w:rsid w:val="51D0506A"/>
    <w:rsid w:val="51D620B8"/>
    <w:rsid w:val="524E73BC"/>
    <w:rsid w:val="5295436D"/>
    <w:rsid w:val="52976ACD"/>
    <w:rsid w:val="540B17C8"/>
    <w:rsid w:val="541A79B6"/>
    <w:rsid w:val="54295E4B"/>
    <w:rsid w:val="5434232B"/>
    <w:rsid w:val="548B440F"/>
    <w:rsid w:val="54A70FF2"/>
    <w:rsid w:val="550D12C8"/>
    <w:rsid w:val="55B8666E"/>
    <w:rsid w:val="55EA0A09"/>
    <w:rsid w:val="56657940"/>
    <w:rsid w:val="566A618E"/>
    <w:rsid w:val="56E952AD"/>
    <w:rsid w:val="572D203D"/>
    <w:rsid w:val="574603AD"/>
    <w:rsid w:val="57763155"/>
    <w:rsid w:val="579B705F"/>
    <w:rsid w:val="57A31603"/>
    <w:rsid w:val="584F7AA2"/>
    <w:rsid w:val="592F7A5F"/>
    <w:rsid w:val="5966335F"/>
    <w:rsid w:val="599B6EA3"/>
    <w:rsid w:val="59B61F2F"/>
    <w:rsid w:val="59C55405"/>
    <w:rsid w:val="5A0C6818"/>
    <w:rsid w:val="5A4A1DA0"/>
    <w:rsid w:val="5A9B5F05"/>
    <w:rsid w:val="5B044F1C"/>
    <w:rsid w:val="5B1D4468"/>
    <w:rsid w:val="5B423D09"/>
    <w:rsid w:val="5B7D309F"/>
    <w:rsid w:val="5B8B2F47"/>
    <w:rsid w:val="5B9B7733"/>
    <w:rsid w:val="5BE723FE"/>
    <w:rsid w:val="5C1A1286"/>
    <w:rsid w:val="5C9710BF"/>
    <w:rsid w:val="5CB52971"/>
    <w:rsid w:val="5CCB0B90"/>
    <w:rsid w:val="5CCC3CF3"/>
    <w:rsid w:val="5CD64696"/>
    <w:rsid w:val="5CDC0C89"/>
    <w:rsid w:val="5D123A97"/>
    <w:rsid w:val="5D342DCF"/>
    <w:rsid w:val="5D3F2B22"/>
    <w:rsid w:val="5D631D68"/>
    <w:rsid w:val="5D7719D5"/>
    <w:rsid w:val="5DA717AD"/>
    <w:rsid w:val="5DC30AE1"/>
    <w:rsid w:val="5DE27796"/>
    <w:rsid w:val="5E5D753B"/>
    <w:rsid w:val="5EA84F52"/>
    <w:rsid w:val="5EBD5B0D"/>
    <w:rsid w:val="5F444AB0"/>
    <w:rsid w:val="5F666BCA"/>
    <w:rsid w:val="5F9A1124"/>
    <w:rsid w:val="5F9F2289"/>
    <w:rsid w:val="601776E3"/>
    <w:rsid w:val="603273D9"/>
    <w:rsid w:val="60956D42"/>
    <w:rsid w:val="60AD570E"/>
    <w:rsid w:val="60AF76D8"/>
    <w:rsid w:val="60DC35E1"/>
    <w:rsid w:val="6149377A"/>
    <w:rsid w:val="61DA7617"/>
    <w:rsid w:val="61FF3FF6"/>
    <w:rsid w:val="62147BA8"/>
    <w:rsid w:val="62402CDD"/>
    <w:rsid w:val="62421FD4"/>
    <w:rsid w:val="625456B5"/>
    <w:rsid w:val="62C751AC"/>
    <w:rsid w:val="62FD0BCE"/>
    <w:rsid w:val="633E0A63"/>
    <w:rsid w:val="63FF44D2"/>
    <w:rsid w:val="64142099"/>
    <w:rsid w:val="64395C36"/>
    <w:rsid w:val="645B3DFE"/>
    <w:rsid w:val="647F7DEC"/>
    <w:rsid w:val="648501A8"/>
    <w:rsid w:val="649C3C1D"/>
    <w:rsid w:val="64E06534"/>
    <w:rsid w:val="65BD4645"/>
    <w:rsid w:val="661C1833"/>
    <w:rsid w:val="66265376"/>
    <w:rsid w:val="66664CDC"/>
    <w:rsid w:val="66D041A9"/>
    <w:rsid w:val="670C13E0"/>
    <w:rsid w:val="674F1684"/>
    <w:rsid w:val="675D123C"/>
    <w:rsid w:val="67BA1CC0"/>
    <w:rsid w:val="67E16521"/>
    <w:rsid w:val="67EA795A"/>
    <w:rsid w:val="68444BA9"/>
    <w:rsid w:val="68A20250"/>
    <w:rsid w:val="68A866B8"/>
    <w:rsid w:val="68E048D2"/>
    <w:rsid w:val="68F8169B"/>
    <w:rsid w:val="6917235E"/>
    <w:rsid w:val="69AB75EC"/>
    <w:rsid w:val="69CC69C6"/>
    <w:rsid w:val="6A1E2D61"/>
    <w:rsid w:val="6A274783"/>
    <w:rsid w:val="6B563571"/>
    <w:rsid w:val="6B5E5F82"/>
    <w:rsid w:val="6B7B2FD8"/>
    <w:rsid w:val="6B923E7E"/>
    <w:rsid w:val="6BA254E8"/>
    <w:rsid w:val="6BAC3191"/>
    <w:rsid w:val="6BE04BE9"/>
    <w:rsid w:val="6C0F2560"/>
    <w:rsid w:val="6C3F6E5E"/>
    <w:rsid w:val="6C4A6A6B"/>
    <w:rsid w:val="6C550679"/>
    <w:rsid w:val="6CB57E24"/>
    <w:rsid w:val="6CF43042"/>
    <w:rsid w:val="6D974CCD"/>
    <w:rsid w:val="6DB25D95"/>
    <w:rsid w:val="6DBF1D40"/>
    <w:rsid w:val="6DC71BCC"/>
    <w:rsid w:val="6E217E67"/>
    <w:rsid w:val="6E2C7F82"/>
    <w:rsid w:val="6E8C1058"/>
    <w:rsid w:val="6EC922AC"/>
    <w:rsid w:val="6F83497A"/>
    <w:rsid w:val="6F8C5F60"/>
    <w:rsid w:val="6FC34F0A"/>
    <w:rsid w:val="6FEB5B20"/>
    <w:rsid w:val="6FEC1DAE"/>
    <w:rsid w:val="6FF02DE1"/>
    <w:rsid w:val="70102817"/>
    <w:rsid w:val="706B40A9"/>
    <w:rsid w:val="712D5F58"/>
    <w:rsid w:val="712E63F7"/>
    <w:rsid w:val="71527E2E"/>
    <w:rsid w:val="715F193C"/>
    <w:rsid w:val="719F1934"/>
    <w:rsid w:val="71B5428C"/>
    <w:rsid w:val="7247254A"/>
    <w:rsid w:val="726447C6"/>
    <w:rsid w:val="727E27EB"/>
    <w:rsid w:val="729572A2"/>
    <w:rsid w:val="72A84B40"/>
    <w:rsid w:val="72B652AE"/>
    <w:rsid w:val="72CC4119"/>
    <w:rsid w:val="73064F12"/>
    <w:rsid w:val="73223D39"/>
    <w:rsid w:val="733F2B3D"/>
    <w:rsid w:val="738C3165"/>
    <w:rsid w:val="738F7621"/>
    <w:rsid w:val="73903399"/>
    <w:rsid w:val="73960157"/>
    <w:rsid w:val="73EE1ACC"/>
    <w:rsid w:val="747540C3"/>
    <w:rsid w:val="7499627D"/>
    <w:rsid w:val="74A72014"/>
    <w:rsid w:val="75020BB7"/>
    <w:rsid w:val="750E7271"/>
    <w:rsid w:val="75642DFE"/>
    <w:rsid w:val="75797A6A"/>
    <w:rsid w:val="76164029"/>
    <w:rsid w:val="76191423"/>
    <w:rsid w:val="762A3631"/>
    <w:rsid w:val="76534668"/>
    <w:rsid w:val="76BD7CD9"/>
    <w:rsid w:val="76C14804"/>
    <w:rsid w:val="77A85155"/>
    <w:rsid w:val="77C448FA"/>
    <w:rsid w:val="77E83245"/>
    <w:rsid w:val="78686E6C"/>
    <w:rsid w:val="788521CA"/>
    <w:rsid w:val="788D5058"/>
    <w:rsid w:val="78AC7C8A"/>
    <w:rsid w:val="79054177"/>
    <w:rsid w:val="79140627"/>
    <w:rsid w:val="792151BF"/>
    <w:rsid w:val="793F707A"/>
    <w:rsid w:val="798000B6"/>
    <w:rsid w:val="79A73846"/>
    <w:rsid w:val="79D7587D"/>
    <w:rsid w:val="7A1C5351"/>
    <w:rsid w:val="7A4176D6"/>
    <w:rsid w:val="7A76356F"/>
    <w:rsid w:val="7A7D3FF2"/>
    <w:rsid w:val="7AAC2004"/>
    <w:rsid w:val="7ACF57DA"/>
    <w:rsid w:val="7ADE2C3C"/>
    <w:rsid w:val="7B1310A2"/>
    <w:rsid w:val="7B8E7151"/>
    <w:rsid w:val="7BB87930"/>
    <w:rsid w:val="7BBB652E"/>
    <w:rsid w:val="7BE75B20"/>
    <w:rsid w:val="7C291D27"/>
    <w:rsid w:val="7C4F789F"/>
    <w:rsid w:val="7CA27E14"/>
    <w:rsid w:val="7CAF57D9"/>
    <w:rsid w:val="7CD31418"/>
    <w:rsid w:val="7CDA710B"/>
    <w:rsid w:val="7D224C43"/>
    <w:rsid w:val="7D250FF6"/>
    <w:rsid w:val="7D750299"/>
    <w:rsid w:val="7D796FBA"/>
    <w:rsid w:val="7D8B387B"/>
    <w:rsid w:val="7DB163E5"/>
    <w:rsid w:val="7DBD7234"/>
    <w:rsid w:val="7DC9372F"/>
    <w:rsid w:val="7DD565F0"/>
    <w:rsid w:val="7DD7333C"/>
    <w:rsid w:val="7E156974"/>
    <w:rsid w:val="7E214980"/>
    <w:rsid w:val="7E3D6EF9"/>
    <w:rsid w:val="7E837A91"/>
    <w:rsid w:val="7EA42B67"/>
    <w:rsid w:val="7EE931D2"/>
    <w:rsid w:val="7F530F46"/>
    <w:rsid w:val="7F7818B1"/>
    <w:rsid w:val="7F855246"/>
    <w:rsid w:val="7F8D26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3"/>
    <w:qFormat/>
    <w:uiPriority w:val="0"/>
    <w:pPr>
      <w:keepNext/>
      <w:keepLines/>
      <w:widowControl w:val="0"/>
      <w:spacing w:before="340" w:beforeLines="0" w:beforeAutospacing="0" w:after="330" w:afterLines="0" w:afterAutospacing="0" w:line="576" w:lineRule="auto"/>
      <w:jc w:val="both"/>
      <w:outlineLvl w:val="0"/>
    </w:pPr>
    <w:rPr>
      <w:rFonts w:ascii="Calibri" w:hAnsi="Calibri" w:eastAsia="宋体" w:cs="Times New Roman"/>
      <w:b/>
      <w:kern w:val="44"/>
      <w:sz w:val="44"/>
      <w:szCs w:val="24"/>
      <w:lang w:val="en-US" w:eastAsia="zh-CN" w:bidi="ar-SA"/>
    </w:rPr>
  </w:style>
  <w:style w:type="paragraph" w:styleId="3">
    <w:name w:val="heading 2"/>
    <w:basedOn w:val="1"/>
    <w:next w:val="4"/>
    <w:unhideWhenUsed/>
    <w:qFormat/>
    <w:uiPriority w:val="0"/>
    <w:pPr>
      <w:keepNext/>
      <w:keepLines/>
      <w:widowControl w:val="0"/>
      <w:spacing w:before="260" w:beforeLines="0" w:beforeAutospacing="0" w:after="260" w:afterLines="0" w:afterAutospacing="0" w:line="413" w:lineRule="auto"/>
      <w:jc w:val="both"/>
      <w:outlineLvl w:val="1"/>
    </w:pPr>
    <w:rPr>
      <w:rFonts w:ascii="Arial" w:hAnsi="Arial" w:eastAsia="黑体" w:cs="Times New Roman"/>
      <w:b/>
      <w:kern w:val="2"/>
      <w:sz w:val="32"/>
      <w:szCs w:val="24"/>
      <w:lang w:val="en-US" w:eastAsia="zh-CN" w:bidi="ar-SA"/>
    </w:rPr>
  </w:style>
  <w:style w:type="paragraph" w:styleId="4">
    <w:name w:val="heading 3"/>
    <w:basedOn w:val="1"/>
    <w:next w:val="1"/>
    <w:unhideWhenUsed/>
    <w:qFormat/>
    <w:uiPriority w:val="0"/>
    <w:pPr>
      <w:keepNext w:val="0"/>
      <w:keepLines w:val="0"/>
      <w:spacing w:beforeLines="0" w:beforeAutospacing="0" w:afterLines="0" w:afterAutospacing="0" w:line="570" w:lineRule="exact"/>
      <w:ind w:firstLine="632" w:firstLineChars="200"/>
      <w:outlineLvl w:val="2"/>
    </w:pPr>
    <w:rPr>
      <w:b/>
      <w:bCs/>
    </w:rPr>
  </w:style>
  <w:style w:type="character" w:default="1" w:styleId="18">
    <w:name w:val="Default Paragraph Font"/>
    <w:autoRedefine/>
    <w:semiHidden/>
    <w:qFormat/>
    <w:uiPriority w:val="0"/>
  </w:style>
  <w:style w:type="table" w:default="1" w:styleId="17">
    <w:name w:val="Normal Table"/>
    <w:autoRedefine/>
    <w:semiHidden/>
    <w:qFormat/>
    <w:uiPriority w:val="0"/>
    <w:tblPr>
      <w:tblCellMar>
        <w:top w:w="0" w:type="dxa"/>
        <w:left w:w="108" w:type="dxa"/>
        <w:bottom w:w="0" w:type="dxa"/>
        <w:right w:w="108" w:type="dxa"/>
      </w:tblCellMar>
    </w:tblPr>
  </w:style>
  <w:style w:type="paragraph" w:styleId="5">
    <w:name w:val="Normal Indent"/>
    <w:basedOn w:val="1"/>
    <w:next w:val="1"/>
    <w:qFormat/>
    <w:uiPriority w:val="0"/>
    <w:pPr>
      <w:ind w:firstLine="420" w:firstLineChars="200"/>
    </w:pPr>
  </w:style>
  <w:style w:type="paragraph" w:styleId="6">
    <w:name w:val="Body Text"/>
    <w:unhideWhenUsed/>
    <w:qFormat/>
    <w:uiPriority w:val="0"/>
    <w:pPr>
      <w:widowControl w:val="0"/>
      <w:spacing w:before="9"/>
      <w:ind w:left="111"/>
      <w:jc w:val="left"/>
    </w:pPr>
    <w:rPr>
      <w:rFonts w:ascii="宋体" w:hAnsi="宋体" w:eastAsia="宋体" w:cs="Times New Roman"/>
      <w:kern w:val="0"/>
      <w:sz w:val="31"/>
      <w:szCs w:val="31"/>
      <w:lang w:val="en-US" w:eastAsia="en-US" w:bidi="ar-SA"/>
    </w:rPr>
  </w:style>
  <w:style w:type="paragraph" w:styleId="7">
    <w:name w:val="Body Text Indent"/>
    <w:basedOn w:val="1"/>
    <w:next w:val="5"/>
    <w:autoRedefine/>
    <w:qFormat/>
    <w:uiPriority w:val="0"/>
    <w:pPr>
      <w:spacing w:after="120" w:afterLines="0" w:afterAutospacing="0"/>
      <w:ind w:left="420" w:leftChars="200"/>
    </w:pPr>
    <w:rPr>
      <w:rFonts w:ascii="Times New Roman" w:hAnsi="Times New Roman" w:eastAsia="宋体" w:cs="Times New Roman"/>
    </w:rPr>
  </w:style>
  <w:style w:type="paragraph" w:styleId="8">
    <w:name w:val="Body Text Indent 2"/>
    <w:basedOn w:val="1"/>
    <w:next w:val="1"/>
    <w:qFormat/>
    <w:uiPriority w:val="0"/>
    <w:pPr>
      <w:spacing w:after="120" w:line="480" w:lineRule="auto"/>
      <w:ind w:left="420" w:leftChars="200"/>
    </w:pPr>
  </w:style>
  <w:style w:type="paragraph" w:styleId="9">
    <w:name w:val="footer"/>
    <w:basedOn w:val="1"/>
    <w:autoRedefine/>
    <w:qFormat/>
    <w:uiPriority w:val="0"/>
    <w:pPr>
      <w:tabs>
        <w:tab w:val="center" w:pos="4153"/>
        <w:tab w:val="right" w:pos="8306"/>
      </w:tabs>
      <w:snapToGrid w:val="0"/>
      <w:jc w:val="left"/>
    </w:pPr>
    <w:rPr>
      <w:sz w:val="18"/>
    </w:rPr>
  </w:style>
  <w:style w:type="paragraph" w:styleId="10">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1">
    <w:name w:val="toc 1"/>
    <w:basedOn w:val="1"/>
    <w:next w:val="1"/>
    <w:qFormat/>
    <w:uiPriority w:val="39"/>
    <w:pPr>
      <w:widowControl w:val="0"/>
      <w:tabs>
        <w:tab w:val="right" w:leader="dot" w:pos="7962"/>
      </w:tabs>
      <w:spacing w:before="120" w:after="120" w:line="300" w:lineRule="exact"/>
      <w:jc w:val="left"/>
    </w:pPr>
    <w:rPr>
      <w:rFonts w:ascii="Calibri" w:hAnsi="Calibri" w:eastAsia="仿宋_GB2312" w:cs="Times New Roman"/>
      <w:b/>
      <w:bCs/>
      <w:caps/>
      <w:kern w:val="2"/>
      <w:sz w:val="26"/>
      <w:szCs w:val="20"/>
      <w:lang w:val="en-US" w:eastAsia="zh-CN" w:bidi="ar-SA"/>
    </w:rPr>
  </w:style>
  <w:style w:type="paragraph" w:styleId="12">
    <w:name w:val="toc 2"/>
    <w:basedOn w:val="1"/>
    <w:next w:val="1"/>
    <w:qFormat/>
    <w:uiPriority w:val="39"/>
    <w:pPr>
      <w:widowControl w:val="0"/>
      <w:tabs>
        <w:tab w:val="right" w:leader="dot" w:pos="7962"/>
      </w:tabs>
      <w:spacing w:line="300" w:lineRule="exact"/>
      <w:ind w:left="210"/>
      <w:jc w:val="left"/>
    </w:pPr>
    <w:rPr>
      <w:rFonts w:ascii="Calibri" w:hAnsi="Calibri" w:eastAsia="仿宋_GB2312" w:cs="Times New Roman"/>
      <w:smallCaps/>
      <w:kern w:val="2"/>
      <w:sz w:val="24"/>
      <w:szCs w:val="20"/>
      <w:lang w:val="en-US" w:eastAsia="zh-CN" w:bidi="ar-SA"/>
    </w:rPr>
  </w:style>
  <w:style w:type="paragraph" w:styleId="13">
    <w:name w:val="Normal (Web)"/>
    <w:basedOn w:val="1"/>
    <w:autoRedefine/>
    <w:qFormat/>
    <w:uiPriority w:val="0"/>
    <w:pPr>
      <w:widowControl/>
      <w:spacing w:before="100" w:beforeAutospacing="1" w:after="100" w:afterAutospacing="1"/>
      <w:ind w:left="0" w:right="0"/>
      <w:jc w:val="left"/>
    </w:pPr>
    <w:rPr>
      <w:rFonts w:ascii="宋体" w:hAnsi="宋体" w:eastAsia="宋体" w:cs="宋体"/>
      <w:kern w:val="0"/>
      <w:sz w:val="24"/>
      <w:szCs w:val="24"/>
      <w:lang w:val="en-US" w:eastAsia="zh-CN" w:bidi="ar-SA"/>
    </w:rPr>
  </w:style>
  <w:style w:type="paragraph" w:styleId="14">
    <w:name w:val="Title"/>
    <w:basedOn w:val="1"/>
    <w:next w:val="15"/>
    <w:autoRedefine/>
    <w:qFormat/>
    <w:uiPriority w:val="10"/>
    <w:pPr>
      <w:spacing w:before="240" w:after="60"/>
      <w:jc w:val="center"/>
      <w:outlineLvl w:val="0"/>
    </w:pPr>
    <w:rPr>
      <w:rFonts w:ascii="Calibri Light" w:hAnsi="Calibri Light" w:eastAsia="宋体" w:cs="Times New Roman"/>
      <w:b/>
      <w:bCs/>
      <w:sz w:val="32"/>
      <w:szCs w:val="32"/>
    </w:rPr>
  </w:style>
  <w:style w:type="paragraph" w:customStyle="1" w:styleId="15">
    <w:name w:val="文章副标题"/>
    <w:basedOn w:val="1"/>
    <w:next w:val="2"/>
    <w:qFormat/>
    <w:uiPriority w:val="0"/>
    <w:pPr>
      <w:spacing w:line="0" w:lineRule="atLeast"/>
      <w:jc w:val="center"/>
    </w:pPr>
    <w:rPr>
      <w:sz w:val="36"/>
    </w:rPr>
  </w:style>
  <w:style w:type="paragraph" w:styleId="16">
    <w:name w:val="Body Text First Indent 2"/>
    <w:next w:val="7"/>
    <w:unhideWhenUsed/>
    <w:qFormat/>
    <w:uiPriority w:val="99"/>
    <w:pPr>
      <w:widowControl w:val="0"/>
      <w:spacing w:after="120"/>
      <w:ind w:left="420" w:leftChars="200" w:firstLine="538" w:firstLineChars="192"/>
      <w:jc w:val="both"/>
    </w:pPr>
    <w:rPr>
      <w:rFonts w:ascii="Times New Roman" w:hAnsi="Times New Roman" w:eastAsiaTheme="minorEastAsia" w:cstheme="minorBidi"/>
      <w:kern w:val="2"/>
      <w:sz w:val="28"/>
      <w:szCs w:val="22"/>
      <w:lang w:val="en-US" w:eastAsia="zh-CN" w:bidi="ar-SA"/>
    </w:rPr>
  </w:style>
  <w:style w:type="character" w:styleId="19">
    <w:name w:val="page number"/>
    <w:basedOn w:val="18"/>
    <w:qFormat/>
    <w:uiPriority w:val="0"/>
  </w:style>
  <w:style w:type="paragraph" w:customStyle="1" w:styleId="20">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21">
    <w:name w:val="font11"/>
    <w:basedOn w:val="18"/>
    <w:autoRedefine/>
    <w:qFormat/>
    <w:uiPriority w:val="0"/>
    <w:rPr>
      <w:rFonts w:hint="default" w:ascii="Times New Roman" w:hAnsi="Times New Roman" w:cs="Times New Roman"/>
      <w:color w:val="000000"/>
      <w:sz w:val="32"/>
      <w:szCs w:val="32"/>
      <w:u w:val="none"/>
    </w:rPr>
  </w:style>
  <w:style w:type="character" w:customStyle="1" w:styleId="22">
    <w:name w:val="font91"/>
    <w:basedOn w:val="18"/>
    <w:autoRedefine/>
    <w:qFormat/>
    <w:uiPriority w:val="0"/>
    <w:rPr>
      <w:rFonts w:hint="eastAsia" w:ascii="宋体" w:hAnsi="宋体" w:eastAsia="宋体" w:cs="宋体"/>
      <w:color w:val="000000"/>
      <w:sz w:val="32"/>
      <w:szCs w:val="32"/>
      <w:u w:val="none"/>
    </w:rPr>
  </w:style>
  <w:style w:type="character" w:customStyle="1" w:styleId="23">
    <w:name w:val="font51"/>
    <w:basedOn w:val="18"/>
    <w:autoRedefine/>
    <w:qFormat/>
    <w:uiPriority w:val="0"/>
    <w:rPr>
      <w:rFonts w:ascii="黑体" w:hAnsi="宋体" w:eastAsia="黑体" w:cs="黑体"/>
      <w:color w:val="000000"/>
      <w:sz w:val="24"/>
      <w:szCs w:val="24"/>
      <w:u w:val="none"/>
    </w:rPr>
  </w:style>
  <w:style w:type="character" w:customStyle="1" w:styleId="24">
    <w:name w:val="font71"/>
    <w:basedOn w:val="18"/>
    <w:autoRedefine/>
    <w:qFormat/>
    <w:uiPriority w:val="0"/>
    <w:rPr>
      <w:rFonts w:hint="eastAsia" w:ascii="宋体" w:hAnsi="宋体" w:eastAsia="宋体" w:cs="宋体"/>
      <w:b/>
      <w:bCs/>
      <w:color w:val="000000"/>
      <w:sz w:val="22"/>
      <w:szCs w:val="22"/>
      <w:u w:val="none"/>
    </w:rPr>
  </w:style>
  <w:style w:type="character" w:customStyle="1" w:styleId="25">
    <w:name w:val="font21"/>
    <w:basedOn w:val="18"/>
    <w:autoRedefine/>
    <w:qFormat/>
    <w:uiPriority w:val="0"/>
    <w:rPr>
      <w:rFonts w:ascii="黑体" w:hAnsi="宋体" w:eastAsia="黑体" w:cs="黑体"/>
      <w:color w:val="000000"/>
      <w:sz w:val="32"/>
      <w:szCs w:val="32"/>
      <w:u w:val="none"/>
    </w:rPr>
  </w:style>
  <w:style w:type="paragraph" w:customStyle="1" w:styleId="26">
    <w:name w:val="11"/>
    <w:qFormat/>
    <w:uiPriority w:val="0"/>
    <w:pPr>
      <w:widowControl/>
      <w:spacing w:before="100" w:beforeAutospacing="1" w:after="100" w:afterAutospacing="1" w:line="384" w:lineRule="auto"/>
      <w:jc w:val="left"/>
    </w:pPr>
    <w:rPr>
      <w:rFonts w:ascii="宋体" w:hAnsi="宋体" w:eastAsia="宋体" w:cs="宋体"/>
      <w:kern w:val="0"/>
      <w:sz w:val="18"/>
      <w:szCs w:val="18"/>
      <w:lang w:val="en-US" w:eastAsia="zh-CN" w:bidi="ar-SA"/>
    </w:rPr>
  </w:style>
  <w:style w:type="paragraph" w:customStyle="1" w:styleId="27">
    <w:name w:val="报告正文"/>
    <w:qFormat/>
    <w:uiPriority w:val="0"/>
    <w:pPr>
      <w:widowControl w:val="0"/>
      <w:adjustRightInd w:val="0"/>
      <w:snapToGrid w:val="0"/>
      <w:spacing w:line="336" w:lineRule="auto"/>
      <w:ind w:left="2603"/>
      <w:jc w:val="both"/>
    </w:pPr>
    <w:rPr>
      <w:rFonts w:ascii="华文细黑" w:hAnsi="Calibri" w:eastAsia="华文细黑" w:cs="宋体"/>
      <w:kern w:val="2"/>
      <w:sz w:val="22"/>
      <w:szCs w:val="20"/>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2992</Words>
  <Characters>3042</Characters>
  <Lines>0</Lines>
  <Paragraphs>0</Paragraphs>
  <TotalTime>0</TotalTime>
  <ScaleCrop>false</ScaleCrop>
  <LinksUpToDate>false</LinksUpToDate>
  <CharactersWithSpaces>3054</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2021-11-19T03:17:00Z</dcterms:created>
  <dc:creator>Administrator</dc:creator>
  <cp:lastModifiedBy>茁ㄨ</cp:lastModifiedBy>
  <cp:lastPrinted>2022-09-26T09:28:00Z</cp:lastPrinted>
  <dcterms:modified xsi:type="dcterms:W3CDTF">2025-09-10T00:05:13Z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CC153B8556E3459A80DD67027D042CFF_13</vt:lpwstr>
  </property>
  <property fmtid="{D5CDD505-2E9C-101B-9397-08002B2CF9AE}" pid="4" name="KSOTemplateDocerSaveRecord">
    <vt:lpwstr>eyJoZGlkIjoiMzU4OGIyNjczMjk3M2YzYjkxMjQ4YTJlYzJkMmFjZTciLCJ1c2VySWQiOiIzNTY5ODcwNzEifQ==</vt:lpwstr>
  </property>
</Properties>
</file>