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574B39">
      <w:pPr>
        <w:jc w:val="both"/>
        <w:rPr>
          <w:rFonts w:hint="eastAsia" w:ascii="Calibri" w:hAnsi="Calibri" w:cs="Times New Roman"/>
          <w:b w:val="0"/>
          <w:bCs w:val="0"/>
          <w:sz w:val="21"/>
          <w:szCs w:val="22"/>
        </w:rPr>
      </w:pPr>
      <w:bookmarkStart w:id="0" w:name="OLE_LINK1"/>
    </w:p>
    <w:bookmarkEnd w:id="0"/>
    <w:p w14:paraId="7ECA2912">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pPr>
    </w:p>
    <w:p w14:paraId="09B2663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i w:val="0"/>
          <w:iCs w:val="0"/>
          <w:color w:val="auto"/>
          <w:sz w:val="44"/>
          <w:szCs w:val="44"/>
          <w:shd w:val="clear" w:color="auto" w:fill="FFFFFF"/>
          <w:lang w:val="en" w:eastAsia="zh-CN" w:bidi="ar-SA"/>
        </w:rPr>
      </w:pPr>
      <w:bookmarkStart w:id="20" w:name="_GoBack"/>
      <w:r>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t>鸠江区人民政府办公室关于印发鸠江区</w:t>
      </w:r>
      <w:r>
        <w:rPr>
          <w:rFonts w:hint="eastAsia" w:ascii="方正小标宋简体" w:hAnsi="方正小标宋简体" w:eastAsia="方正小标宋简体" w:cs="方正小标宋简体"/>
          <w:b w:val="0"/>
          <w:bCs/>
          <w:i w:val="0"/>
          <w:iCs w:val="0"/>
          <w:color w:val="auto"/>
          <w:sz w:val="44"/>
          <w:szCs w:val="44"/>
          <w:shd w:val="clear" w:color="auto" w:fill="FFFFFF"/>
          <w:lang w:val="en" w:eastAsia="zh-CN" w:bidi="ar-SA"/>
        </w:rPr>
        <w:t>药品</w:t>
      </w:r>
    </w:p>
    <w:p w14:paraId="405C1CA0">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pPr>
      <w:r>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t>安全突发事件应急预案的通知</w:t>
      </w:r>
    </w:p>
    <w:bookmarkEnd w:id="20"/>
    <w:p w14:paraId="1793E2A9">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 w:hAnsi="仿宋" w:eastAsia="仿宋" w:cs="仿宋"/>
          <w:b w:val="0"/>
          <w:bCs/>
          <w:i w:val="0"/>
          <w:iCs w:val="0"/>
          <w:color w:val="auto"/>
          <w:sz w:val="32"/>
          <w:szCs w:val="32"/>
          <w:shd w:val="clear" w:color="auto" w:fill="FFFFFF"/>
          <w:lang w:val="en-US" w:eastAsia="zh-CN" w:bidi="ar-SA"/>
        </w:rPr>
      </w:pPr>
      <w:r>
        <w:rPr>
          <w:rFonts w:hint="eastAsia" w:ascii="仿宋_GB2312" w:hAnsi="Calibri" w:eastAsia="仿宋_GB2312" w:cs="Times New Roman"/>
          <w:b w:val="0"/>
          <w:bCs w:val="0"/>
          <w:sz w:val="32"/>
          <w:szCs w:val="32"/>
        </w:rPr>
        <w:t>鸠</w:t>
      </w:r>
      <w:r>
        <w:rPr>
          <w:rFonts w:hint="eastAsia" w:ascii="仿宋_GB2312" w:hAnsi="Calibri" w:eastAsia="仿宋_GB2312" w:cs="Times New Roman"/>
          <w:b w:val="0"/>
          <w:bCs w:val="0"/>
          <w:sz w:val="32"/>
          <w:szCs w:val="32"/>
          <w:lang w:val="en-US" w:eastAsia="zh-CN"/>
        </w:rPr>
        <w:t>办突发</w:t>
      </w:r>
      <w:r>
        <w:rPr>
          <w:rFonts w:hint="eastAsia" w:ascii="仿宋_GB2312" w:hAnsi="Calibri" w:eastAsia="仿宋_GB2312" w:cs="Times New Roman"/>
          <w:b w:val="0"/>
          <w:bCs w:val="0"/>
          <w:sz w:val="32"/>
          <w:szCs w:val="32"/>
        </w:rPr>
        <w:t>〔</w:t>
      </w:r>
      <w:r>
        <w:rPr>
          <w:rFonts w:hint="default" w:ascii="Times New Roman" w:hAnsi="Times New Roman" w:eastAsia="仿宋_GB2312" w:cs="Times New Roman"/>
          <w:b w:val="0"/>
          <w:bCs w:val="0"/>
          <w:sz w:val="32"/>
          <w:szCs w:val="32"/>
        </w:rPr>
        <w:t>20</w:t>
      </w:r>
      <w:r>
        <w:rPr>
          <w:rFonts w:hint="default" w:ascii="Times New Roman" w:hAnsi="Times New Roman" w:eastAsia="仿宋_GB2312" w:cs="Times New Roman"/>
          <w:b w:val="0"/>
          <w:bCs w:val="0"/>
          <w:sz w:val="32"/>
          <w:szCs w:val="32"/>
          <w:lang w:val="en-US" w:eastAsia="zh-CN"/>
        </w:rPr>
        <w:t>2</w:t>
      </w:r>
      <w:r>
        <w:rPr>
          <w:rFonts w:hint="eastAsia" w:ascii="Times New Roman" w:hAnsi="Times New Roman" w:eastAsia="仿宋_GB2312" w:cs="Times New Roman"/>
          <w:b w:val="0"/>
          <w:bCs w:val="0"/>
          <w:sz w:val="32"/>
          <w:szCs w:val="32"/>
          <w:lang w:val="en-US" w:eastAsia="zh-CN"/>
        </w:rPr>
        <w:t>4</w:t>
      </w:r>
      <w:r>
        <w:rPr>
          <w:rFonts w:hint="eastAsia" w:ascii="仿宋_GB2312" w:hAnsi="Calibri" w:eastAsia="仿宋_GB2312" w:cs="Times New Roman"/>
          <w:b w:val="0"/>
          <w:bCs w:val="0"/>
          <w:sz w:val="32"/>
          <w:szCs w:val="32"/>
        </w:rPr>
        <w:t>〕</w:t>
      </w:r>
      <w:r>
        <w:rPr>
          <w:rFonts w:hint="eastAsia" w:eastAsia="仿宋_GB2312" w:cs="Times New Roman"/>
          <w:b w:val="0"/>
          <w:bCs w:val="0"/>
          <w:sz w:val="32"/>
          <w:szCs w:val="32"/>
          <w:lang w:val="en-US" w:eastAsia="zh-CN"/>
        </w:rPr>
        <w:t>2</w:t>
      </w:r>
      <w:r>
        <w:rPr>
          <w:rFonts w:hint="eastAsia" w:ascii="仿宋_GB2312" w:hAnsi="Calibri" w:eastAsia="仿宋_GB2312" w:cs="Times New Roman"/>
          <w:b w:val="0"/>
          <w:bCs w:val="0"/>
          <w:sz w:val="32"/>
          <w:szCs w:val="32"/>
        </w:rPr>
        <w:t>号</w:t>
      </w:r>
    </w:p>
    <w:p w14:paraId="1D570289">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_GB2312" w:hAnsi="仿宋_GB2312" w:eastAsia="仿宋_GB2312" w:cs="仿宋_GB2312"/>
          <w:b w:val="0"/>
          <w:bCs/>
          <w:i w:val="0"/>
          <w:iCs w:val="0"/>
          <w:color w:val="auto"/>
          <w:sz w:val="32"/>
          <w:szCs w:val="32"/>
          <w:shd w:val="clear" w:color="auto" w:fill="FFFFFF"/>
          <w:lang w:val="en-US" w:eastAsia="zh-CN" w:bidi="ar-SA"/>
        </w:rPr>
      </w:pPr>
    </w:p>
    <w:p w14:paraId="587E9805">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_GB2312" w:hAnsi="仿宋_GB2312" w:eastAsia="仿宋_GB2312" w:cs="仿宋_GB2312"/>
          <w:b w:val="0"/>
          <w:bCs/>
          <w:i w:val="0"/>
          <w:iCs w:val="0"/>
          <w:color w:val="auto"/>
          <w:sz w:val="32"/>
          <w:szCs w:val="32"/>
          <w:shd w:val="clear" w:color="auto" w:fill="FFFFFF"/>
          <w:lang w:val="en-US" w:eastAsia="zh-CN" w:bidi="ar-SA"/>
        </w:rPr>
      </w:pPr>
      <w:r>
        <w:rPr>
          <w:rFonts w:hint="eastAsia" w:ascii="仿宋_GB2312" w:hAnsi="仿宋_GB2312" w:eastAsia="仿宋_GB2312" w:cs="仿宋_GB2312"/>
          <w:b w:val="0"/>
          <w:bCs/>
          <w:i w:val="0"/>
          <w:iCs w:val="0"/>
          <w:color w:val="auto"/>
          <w:sz w:val="32"/>
          <w:szCs w:val="32"/>
          <w:shd w:val="clear" w:color="auto" w:fill="FFFFFF"/>
          <w:lang w:val="en-US" w:eastAsia="zh-CN" w:bidi="ar-SA"/>
        </w:rPr>
        <w:t>各镇街，鸠江经济开发区管委会，区直各单位，驻区各部门：</w:t>
      </w:r>
    </w:p>
    <w:p w14:paraId="40CB9157">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jc w:val="both"/>
        <w:textAlignment w:val="auto"/>
        <w:rPr>
          <w:rFonts w:hint="eastAsia" w:ascii="仿宋_GB2312" w:hAnsi="仿宋_GB2312" w:eastAsia="仿宋_GB2312" w:cs="仿宋_GB2312"/>
          <w:b w:val="0"/>
          <w:bCs/>
          <w:i w:val="0"/>
          <w:iCs w:val="0"/>
          <w:color w:val="auto"/>
          <w:sz w:val="32"/>
          <w:szCs w:val="32"/>
          <w:shd w:val="clear" w:color="auto" w:fill="FFFFFF"/>
          <w:lang w:val="en-US" w:eastAsia="zh-CN" w:bidi="ar-SA"/>
        </w:rPr>
      </w:pPr>
      <w:r>
        <w:rPr>
          <w:rFonts w:hint="eastAsia" w:ascii="仿宋_GB2312" w:hAnsi="仿宋_GB2312" w:eastAsia="仿宋_GB2312" w:cs="仿宋_GB2312"/>
          <w:b w:val="0"/>
          <w:bCs/>
          <w:i w:val="0"/>
          <w:iCs w:val="0"/>
          <w:color w:val="auto"/>
          <w:sz w:val="32"/>
          <w:szCs w:val="32"/>
          <w:shd w:val="clear" w:color="auto" w:fill="FFFFFF"/>
          <w:lang w:val="en-US" w:eastAsia="zh-CN" w:bidi="ar-SA"/>
        </w:rPr>
        <w:t>《鸠江区</w:t>
      </w:r>
      <w:r>
        <w:rPr>
          <w:rFonts w:hint="eastAsia" w:ascii="仿宋_GB2312" w:hAnsi="仿宋_GB2312" w:eastAsia="仿宋_GB2312" w:cs="仿宋_GB2312"/>
          <w:b w:val="0"/>
          <w:bCs/>
          <w:i w:val="0"/>
          <w:iCs w:val="0"/>
          <w:color w:val="auto"/>
          <w:sz w:val="32"/>
          <w:szCs w:val="32"/>
          <w:shd w:val="clear" w:color="auto" w:fill="FFFFFF"/>
          <w:lang w:val="en" w:eastAsia="zh-CN" w:bidi="ar-SA"/>
        </w:rPr>
        <w:t>药品</w:t>
      </w:r>
      <w:r>
        <w:rPr>
          <w:rFonts w:hint="eastAsia" w:ascii="仿宋_GB2312" w:hAnsi="仿宋_GB2312" w:eastAsia="仿宋_GB2312" w:cs="仿宋_GB2312"/>
          <w:b w:val="0"/>
          <w:bCs/>
          <w:i w:val="0"/>
          <w:iCs w:val="0"/>
          <w:color w:val="auto"/>
          <w:sz w:val="32"/>
          <w:szCs w:val="32"/>
          <w:shd w:val="clear" w:color="auto" w:fill="FFFFFF"/>
          <w:lang w:val="en-US" w:eastAsia="zh-CN" w:bidi="ar-SA"/>
        </w:rPr>
        <w:t>安全突发事件应急预案》已经区政府同意，现印发给你们，请结合实际，认真贯彻落实。</w:t>
      </w:r>
    </w:p>
    <w:p w14:paraId="4641F765">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jc w:val="both"/>
        <w:textAlignment w:val="auto"/>
        <w:rPr>
          <w:rFonts w:hint="eastAsia" w:ascii="仿宋_GB2312" w:hAnsi="仿宋_GB2312" w:eastAsia="仿宋_GB2312" w:cs="仿宋_GB2312"/>
          <w:b w:val="0"/>
          <w:bCs/>
          <w:i w:val="0"/>
          <w:iCs w:val="0"/>
          <w:color w:val="auto"/>
          <w:sz w:val="32"/>
          <w:szCs w:val="32"/>
          <w:shd w:val="clear" w:color="auto" w:fill="FFFFFF"/>
          <w:lang w:val="en-US" w:eastAsia="zh-CN" w:bidi="ar-SA"/>
        </w:rPr>
      </w:pPr>
    </w:p>
    <w:p w14:paraId="6A45670E">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jc w:val="both"/>
        <w:textAlignment w:val="auto"/>
        <w:rPr>
          <w:rFonts w:hint="eastAsia" w:ascii="仿宋_GB2312" w:hAnsi="仿宋_GB2312" w:eastAsia="仿宋_GB2312" w:cs="仿宋_GB2312"/>
          <w:b w:val="0"/>
          <w:bCs/>
          <w:i w:val="0"/>
          <w:iCs w:val="0"/>
          <w:color w:val="auto"/>
          <w:sz w:val="32"/>
          <w:szCs w:val="32"/>
          <w:shd w:val="clear" w:color="auto" w:fill="FFFFFF"/>
          <w:lang w:val="en-US" w:eastAsia="zh-CN" w:bidi="ar-SA"/>
        </w:rPr>
      </w:pPr>
    </w:p>
    <w:p w14:paraId="35C040A8">
      <w:pPr>
        <w:keepNext w:val="0"/>
        <w:keepLines w:val="0"/>
        <w:pageBreakBefore w:val="0"/>
        <w:widowControl/>
        <w:tabs>
          <w:tab w:val="left" w:pos="7740"/>
        </w:tabs>
        <w:kinsoku/>
        <w:wordWrap w:val="0"/>
        <w:overflowPunct/>
        <w:topLinePunct w:val="0"/>
        <w:autoSpaceDE/>
        <w:autoSpaceDN/>
        <w:bidi w:val="0"/>
        <w:adjustRightInd/>
        <w:snapToGrid/>
        <w:spacing w:line="570" w:lineRule="exact"/>
        <w:ind w:right="880" w:rightChars="200" w:firstLine="641"/>
        <w:jc w:val="right"/>
        <w:textAlignment w:val="auto"/>
        <w:rPr>
          <w:rFonts w:hint="eastAsia" w:ascii="仿宋_GB2312" w:hAnsi="仿宋_GB2312" w:eastAsia="仿宋_GB2312" w:cs="仿宋_GB2312"/>
          <w:b w:val="0"/>
          <w:bCs/>
          <w:i w:val="0"/>
          <w:iCs w:val="0"/>
          <w:color w:val="auto"/>
          <w:sz w:val="32"/>
          <w:szCs w:val="32"/>
          <w:shd w:val="clear" w:color="auto" w:fill="FFFFFF"/>
          <w:lang w:val="en-US" w:eastAsia="zh-CN" w:bidi="ar-SA"/>
        </w:rPr>
      </w:pPr>
      <w:r>
        <w:rPr>
          <w:rFonts w:hint="eastAsia" w:ascii="仿宋_GB2312" w:hAnsi="仿宋_GB2312" w:eastAsia="仿宋_GB2312" w:cs="仿宋_GB2312"/>
          <w:b w:val="0"/>
          <w:bCs w:val="0"/>
          <w:kern w:val="0"/>
          <w:sz w:val="32"/>
          <w:szCs w:val="32"/>
          <w:lang w:eastAsia="zh-CN"/>
        </w:rPr>
        <w:t>鸠江区人民政府办公室</w:t>
      </w:r>
      <w:r>
        <w:rPr>
          <w:rFonts w:hint="eastAsia" w:ascii="仿宋_GB2312" w:hAnsi="仿宋_GB2312" w:eastAsia="仿宋_GB2312" w:cs="仿宋_GB2312"/>
          <w:b w:val="0"/>
          <w:bCs w:val="0"/>
          <w:kern w:val="0"/>
          <w:sz w:val="32"/>
          <w:szCs w:val="32"/>
          <w:lang w:val="en-US" w:eastAsia="zh-CN"/>
        </w:rPr>
        <w:t xml:space="preserve"> </w:t>
      </w:r>
    </w:p>
    <w:p w14:paraId="63668A2C">
      <w:pPr>
        <w:keepNext w:val="0"/>
        <w:keepLines w:val="0"/>
        <w:pageBreakBefore w:val="0"/>
        <w:widowControl/>
        <w:kinsoku/>
        <w:wordWrap w:val="0"/>
        <w:overflowPunct/>
        <w:topLinePunct w:val="0"/>
        <w:autoSpaceDE/>
        <w:autoSpaceDN/>
        <w:bidi w:val="0"/>
        <w:adjustRightInd/>
        <w:snapToGrid/>
        <w:spacing w:before="0" w:beforeAutospacing="0" w:after="0" w:afterAutospacing="0" w:line="600" w:lineRule="exact"/>
        <w:ind w:firstLine="5120" w:firstLineChars="1600"/>
        <w:jc w:val="both"/>
        <w:textAlignment w:val="auto"/>
        <w:rPr>
          <w:rFonts w:hint="eastAsia" w:ascii="仿宋_GB2312" w:hAnsi="仿宋_GB2312" w:eastAsia="仿宋_GB2312" w:cs="仿宋_GB2312"/>
          <w:b w:val="0"/>
          <w:bCs/>
          <w:i w:val="0"/>
          <w:iCs w:val="0"/>
          <w:color w:val="auto"/>
          <w:sz w:val="32"/>
          <w:szCs w:val="32"/>
          <w:shd w:val="clear" w:color="auto" w:fill="FFFFFF"/>
          <w:lang w:val="en-US" w:eastAsia="zh-CN" w:bidi="ar-SA"/>
        </w:rPr>
      </w:pPr>
      <w:r>
        <w:rPr>
          <w:rFonts w:hint="eastAsia" w:ascii="仿宋_GB2312" w:hAnsi="仿宋_GB2312" w:eastAsia="仿宋_GB2312" w:cs="仿宋_GB2312"/>
          <w:b w:val="0"/>
          <w:bCs/>
          <w:i w:val="0"/>
          <w:iCs w:val="0"/>
          <w:color w:val="auto"/>
          <w:sz w:val="32"/>
          <w:szCs w:val="32"/>
          <w:shd w:val="clear" w:color="auto" w:fill="FFFFFF"/>
          <w:lang w:val="en-US" w:eastAsia="zh-CN" w:bidi="ar-SA"/>
        </w:rPr>
        <w:t>2024年12月25日</w:t>
      </w:r>
    </w:p>
    <w:p w14:paraId="4DEB1BA1">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pPr>
    </w:p>
    <w:p w14:paraId="00B0EFDD">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pPr>
    </w:p>
    <w:p w14:paraId="46512614">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 w:hAnsi="仿宋" w:eastAsia="仿宋" w:cs="仿宋"/>
          <w:b w:val="0"/>
          <w:bCs/>
          <w:i w:val="0"/>
          <w:iCs w:val="0"/>
          <w:color w:val="auto"/>
          <w:sz w:val="32"/>
          <w:szCs w:val="32"/>
          <w:shd w:val="clear" w:color="auto" w:fill="FFFFFF"/>
          <w:lang w:val="en-US" w:eastAsia="zh-CN" w:bidi="ar-SA"/>
        </w:rPr>
      </w:pPr>
    </w:p>
    <w:p w14:paraId="3872E627">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pPr>
    </w:p>
    <w:p w14:paraId="5D516E23">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pPr>
    </w:p>
    <w:p w14:paraId="29B55468">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pPr>
    </w:p>
    <w:p w14:paraId="0D1CDD8E">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pPr>
    </w:p>
    <w:p w14:paraId="7172F391">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pPr>
    </w:p>
    <w:p w14:paraId="0D101F13">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1320" w:firstLineChars="300"/>
        <w:jc w:val="both"/>
        <w:textAlignment w:val="auto"/>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pPr>
      <w:r>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t>鸠江区</w:t>
      </w:r>
      <w:r>
        <w:rPr>
          <w:rFonts w:hint="eastAsia" w:ascii="方正小标宋简体" w:hAnsi="方正小标宋简体" w:eastAsia="方正小标宋简体" w:cs="方正小标宋简体"/>
          <w:b w:val="0"/>
          <w:bCs/>
          <w:i w:val="0"/>
          <w:iCs w:val="0"/>
          <w:color w:val="auto"/>
          <w:sz w:val="44"/>
          <w:szCs w:val="44"/>
          <w:shd w:val="clear" w:color="auto" w:fill="FFFFFF"/>
          <w:lang w:val="en" w:eastAsia="zh-CN" w:bidi="ar-SA"/>
        </w:rPr>
        <w:t>药品</w:t>
      </w:r>
      <w:r>
        <w:rPr>
          <w:rFonts w:hint="eastAsia" w:ascii="方正小标宋简体" w:hAnsi="方正小标宋简体" w:eastAsia="方正小标宋简体" w:cs="方正小标宋简体"/>
          <w:b w:val="0"/>
          <w:bCs/>
          <w:i w:val="0"/>
          <w:iCs w:val="0"/>
          <w:color w:val="auto"/>
          <w:sz w:val="44"/>
          <w:szCs w:val="44"/>
          <w:shd w:val="clear" w:color="auto" w:fill="FFFFFF"/>
          <w:lang w:val="en-US" w:eastAsia="zh-CN" w:bidi="ar-SA"/>
        </w:rPr>
        <w:t>安全突发事件应急预案</w:t>
      </w:r>
    </w:p>
    <w:p w14:paraId="7D3F3F55">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lang w:val="en-US" w:eastAsia="zh-CN" w:bidi="ar-SA"/>
        </w:rPr>
      </w:pPr>
      <w:r>
        <w:rPr>
          <w:rFonts w:hint="eastAsia" w:ascii="黑体" w:hAnsi="黑体" w:eastAsia="黑体" w:cs="黑体"/>
          <w:b w:val="0"/>
          <w:bCs/>
          <w:i w:val="0"/>
          <w:iCs w:val="0"/>
          <w:color w:val="auto"/>
          <w:sz w:val="32"/>
          <w:szCs w:val="32"/>
          <w:shd w:val="clear" w:color="auto" w:fill="FFFFFF"/>
          <w:lang w:val="en-US" w:eastAsia="zh-CN" w:bidi="ar-SA"/>
        </w:rPr>
        <w:t xml:space="preserve"> </w:t>
      </w:r>
    </w:p>
    <w:p w14:paraId="4ECA7179">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黑体" w:hAnsi="黑体" w:eastAsia="黑体" w:cs="黑体"/>
          <w:b w:val="0"/>
          <w:bCs w:val="0"/>
          <w:i w:val="0"/>
          <w:iCs w:val="0"/>
          <w:color w:val="auto"/>
          <w:sz w:val="32"/>
          <w:szCs w:val="32"/>
          <w:shd w:val="clear" w:color="auto" w:fill="FFFFFF"/>
          <w:lang w:val="en" w:eastAsia="zh-CN" w:bidi="ar"/>
        </w:rPr>
        <w:t>1 总则</w:t>
      </w:r>
    </w:p>
    <w:p w14:paraId="220D98F1">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1.1 编制目的</w:t>
      </w:r>
    </w:p>
    <w:p w14:paraId="4A64527B">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1.2 编制依据</w:t>
      </w:r>
    </w:p>
    <w:p w14:paraId="5C84F23E">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1.3 适用范围</w:t>
      </w:r>
    </w:p>
    <w:p w14:paraId="6568C6AC">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1.4 突发事件分类分级</w:t>
      </w:r>
    </w:p>
    <w:p w14:paraId="2C22970A">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1.5 工作原则</w:t>
      </w:r>
    </w:p>
    <w:p w14:paraId="7D5094AC">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黑体" w:hAnsi="黑体" w:eastAsia="黑体" w:cs="黑体"/>
          <w:b w:val="0"/>
          <w:bCs w:val="0"/>
          <w:i w:val="0"/>
          <w:iCs w:val="0"/>
          <w:color w:val="auto"/>
          <w:sz w:val="32"/>
          <w:szCs w:val="32"/>
          <w:shd w:val="clear" w:color="auto" w:fill="FFFFFF"/>
          <w:lang w:val="en" w:eastAsia="zh-CN" w:bidi="ar"/>
        </w:rPr>
        <w:t>2 组织指挥体系</w:t>
      </w:r>
    </w:p>
    <w:p w14:paraId="234F5E7C">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2.1 </w:t>
      </w:r>
      <w:r>
        <w:rPr>
          <w:rFonts w:hint="eastAsia" w:ascii="楷体_GB2312" w:hAnsi="楷体_GB2312" w:eastAsia="楷体_GB2312" w:cs="楷体_GB2312"/>
          <w:b w:val="0"/>
          <w:bCs w:val="0"/>
          <w:i w:val="0"/>
          <w:iCs w:val="0"/>
          <w:color w:val="auto"/>
          <w:sz w:val="32"/>
          <w:szCs w:val="32"/>
          <w:shd w:val="clear" w:color="auto" w:fill="FFFFFF"/>
          <w:lang w:val="en-US" w:eastAsia="zh-CN" w:bidi="ar"/>
        </w:rPr>
        <w:t>区</w:t>
      </w:r>
      <w:r>
        <w:rPr>
          <w:rFonts w:hint="eastAsia" w:ascii="楷体_GB2312" w:hAnsi="楷体_GB2312" w:eastAsia="楷体_GB2312" w:cs="楷体_GB2312"/>
          <w:b w:val="0"/>
          <w:bCs w:val="0"/>
          <w:i w:val="0"/>
          <w:iCs w:val="0"/>
          <w:color w:val="auto"/>
          <w:sz w:val="32"/>
          <w:szCs w:val="32"/>
          <w:shd w:val="clear" w:color="auto" w:fill="FFFFFF"/>
          <w:lang w:val="en" w:eastAsia="zh-CN" w:bidi="ar"/>
        </w:rPr>
        <w:t>应急指挥部</w:t>
      </w:r>
    </w:p>
    <w:p w14:paraId="7503E769">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2.2 </w:t>
      </w:r>
      <w:r>
        <w:rPr>
          <w:rFonts w:hint="eastAsia" w:ascii="楷体_GB2312" w:hAnsi="楷体_GB2312" w:eastAsia="楷体_GB2312" w:cs="楷体_GB2312"/>
          <w:b w:val="0"/>
          <w:bCs w:val="0"/>
          <w:i w:val="0"/>
          <w:iCs w:val="0"/>
          <w:color w:val="auto"/>
          <w:sz w:val="32"/>
          <w:szCs w:val="32"/>
          <w:shd w:val="clear" w:color="auto" w:fill="FFFFFF"/>
          <w:lang w:val="en-US" w:eastAsia="zh-CN" w:bidi="ar"/>
        </w:rPr>
        <w:t>区</w:t>
      </w:r>
      <w:r>
        <w:rPr>
          <w:rFonts w:hint="eastAsia" w:ascii="楷体_GB2312" w:hAnsi="楷体_GB2312" w:eastAsia="楷体_GB2312" w:cs="楷体_GB2312"/>
          <w:b w:val="0"/>
          <w:bCs w:val="0"/>
          <w:i w:val="0"/>
          <w:iCs w:val="0"/>
          <w:color w:val="auto"/>
          <w:sz w:val="32"/>
          <w:szCs w:val="32"/>
          <w:shd w:val="clear" w:color="auto" w:fill="FFFFFF"/>
          <w:lang w:val="en" w:eastAsia="zh-CN" w:bidi="ar"/>
        </w:rPr>
        <w:t>应急指挥部办公室</w:t>
      </w:r>
    </w:p>
    <w:p w14:paraId="64BAFBBA">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2.3 工作组</w:t>
      </w:r>
    </w:p>
    <w:p w14:paraId="1D125EA8">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2.4 专家组</w:t>
      </w:r>
    </w:p>
    <w:p w14:paraId="6A69BE85">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2.5 专业技术机构</w:t>
      </w:r>
    </w:p>
    <w:p w14:paraId="22FEF1A3">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黑体" w:hAnsi="黑体" w:eastAsia="黑体" w:cs="黑体"/>
          <w:b w:val="0"/>
          <w:bCs w:val="0"/>
          <w:i w:val="0"/>
          <w:iCs w:val="0"/>
          <w:color w:val="auto"/>
          <w:sz w:val="32"/>
          <w:szCs w:val="32"/>
          <w:shd w:val="clear" w:color="auto" w:fill="FFFFFF"/>
          <w:lang w:val="en" w:eastAsia="zh-CN" w:bidi="ar"/>
        </w:rPr>
        <w:t>3 监测、预警</w:t>
      </w:r>
    </w:p>
    <w:p w14:paraId="49E045E0">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3.1 监测</w:t>
      </w:r>
    </w:p>
    <w:p w14:paraId="6729378B">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3.2 预警</w:t>
      </w:r>
    </w:p>
    <w:p w14:paraId="63FDB294">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黑体" w:hAnsi="黑体" w:eastAsia="黑体" w:cs="黑体"/>
          <w:b w:val="0"/>
          <w:bCs w:val="0"/>
          <w:i w:val="0"/>
          <w:iCs w:val="0"/>
          <w:color w:val="auto"/>
          <w:sz w:val="32"/>
          <w:szCs w:val="32"/>
          <w:shd w:val="clear" w:color="auto" w:fill="FFFFFF"/>
          <w:lang w:val="en" w:eastAsia="zh-CN" w:bidi="ar"/>
        </w:rPr>
        <w:t>4 处置措施</w:t>
      </w:r>
    </w:p>
    <w:p w14:paraId="1BDC947A">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4.1 信息报告</w:t>
      </w:r>
    </w:p>
    <w:p w14:paraId="529DFF7C">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4.2 先期处置</w:t>
      </w:r>
    </w:p>
    <w:p w14:paraId="7C8C4DE9">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4.3 启动应急响应</w:t>
      </w:r>
    </w:p>
    <w:p w14:paraId="4D068FA7">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4.4 </w:t>
      </w:r>
      <w:r>
        <w:rPr>
          <w:rFonts w:hint="eastAsia" w:ascii="楷体_GB2312" w:hAnsi="楷体_GB2312" w:eastAsia="楷体_GB2312" w:cs="楷体_GB2312"/>
          <w:b w:val="0"/>
          <w:bCs w:val="0"/>
          <w:i w:val="0"/>
          <w:iCs w:val="0"/>
          <w:color w:val="auto"/>
          <w:sz w:val="32"/>
          <w:szCs w:val="32"/>
          <w:shd w:val="clear" w:color="auto" w:fill="FFFFFF"/>
          <w:lang w:val="en-US" w:eastAsia="zh-CN" w:bidi="ar"/>
        </w:rPr>
        <w:t>处置措施</w:t>
      </w:r>
    </w:p>
    <w:p w14:paraId="5AC92BF1">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4.5 响应级别调整</w:t>
      </w:r>
    </w:p>
    <w:p w14:paraId="310352AA">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4.6 响应终止</w:t>
      </w:r>
    </w:p>
    <w:p w14:paraId="5B38908A">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4.7 </w:t>
      </w:r>
      <w:r>
        <w:rPr>
          <w:rFonts w:hint="eastAsia" w:ascii="楷体_GB2312" w:hAnsi="楷体_GB2312" w:eastAsia="楷体_GB2312" w:cs="楷体_GB2312"/>
          <w:b w:val="0"/>
          <w:bCs w:val="0"/>
          <w:i w:val="0"/>
          <w:iCs w:val="0"/>
          <w:color w:val="auto"/>
          <w:sz w:val="32"/>
          <w:szCs w:val="32"/>
          <w:shd w:val="clear" w:color="auto" w:fill="FFFFFF"/>
          <w:lang w:val="en-US" w:eastAsia="zh-CN" w:bidi="ar"/>
        </w:rPr>
        <w:t>信息发布</w:t>
      </w:r>
    </w:p>
    <w:p w14:paraId="09B73D3D">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黑体" w:hAnsi="黑体" w:eastAsia="黑体" w:cs="黑体"/>
          <w:b w:val="0"/>
          <w:bCs w:val="0"/>
          <w:i w:val="0"/>
          <w:iCs w:val="0"/>
          <w:color w:val="auto"/>
          <w:sz w:val="32"/>
          <w:szCs w:val="32"/>
          <w:shd w:val="clear" w:color="auto" w:fill="FFFFFF"/>
          <w:lang w:val="en" w:eastAsia="zh-CN" w:bidi="ar"/>
        </w:rPr>
        <w:t>5 恢复重建</w:t>
      </w:r>
    </w:p>
    <w:p w14:paraId="313B9087">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5.1 善后处置</w:t>
      </w:r>
    </w:p>
    <w:p w14:paraId="54B09E58">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5.2 调查评估</w:t>
      </w:r>
    </w:p>
    <w:p w14:paraId="54693539">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5.3 恢复重建</w:t>
      </w:r>
    </w:p>
    <w:p w14:paraId="3A306AED">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黑体" w:hAnsi="黑体" w:eastAsia="黑体" w:cs="黑体"/>
          <w:b w:val="0"/>
          <w:bCs w:val="0"/>
          <w:i w:val="0"/>
          <w:iCs w:val="0"/>
          <w:color w:val="auto"/>
          <w:sz w:val="32"/>
          <w:szCs w:val="32"/>
          <w:shd w:val="clear" w:color="auto" w:fill="FFFFFF"/>
          <w:lang w:val="en" w:eastAsia="zh-CN" w:bidi="ar"/>
        </w:rPr>
        <w:t>6 保障措施</w:t>
      </w:r>
    </w:p>
    <w:p w14:paraId="65C296B3">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6.1 队伍保障</w:t>
      </w:r>
    </w:p>
    <w:p w14:paraId="41D91AE5">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6.2 资金保障</w:t>
      </w:r>
    </w:p>
    <w:p w14:paraId="3A02565C">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6.3 物资保障</w:t>
      </w:r>
    </w:p>
    <w:p w14:paraId="37AA5E76">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6.4 </w:t>
      </w:r>
      <w:r>
        <w:rPr>
          <w:rFonts w:hint="eastAsia" w:ascii="楷体_GB2312" w:hAnsi="楷体_GB2312" w:eastAsia="楷体_GB2312" w:cs="楷体_GB2312"/>
          <w:b w:val="0"/>
          <w:bCs w:val="0"/>
          <w:i w:val="0"/>
          <w:iCs w:val="0"/>
          <w:color w:val="auto"/>
          <w:sz w:val="32"/>
          <w:szCs w:val="32"/>
          <w:shd w:val="clear" w:color="auto" w:fill="FFFFFF"/>
          <w:lang w:val="en-US" w:eastAsia="zh-CN" w:bidi="ar"/>
        </w:rPr>
        <w:t>医疗保障</w:t>
      </w:r>
    </w:p>
    <w:p w14:paraId="3054EE49">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6.5 交通</w:t>
      </w:r>
      <w:r>
        <w:rPr>
          <w:rFonts w:hint="eastAsia" w:ascii="楷体_GB2312" w:hAnsi="楷体_GB2312" w:eastAsia="楷体_GB2312" w:cs="楷体_GB2312"/>
          <w:b w:val="0"/>
          <w:bCs w:val="0"/>
          <w:i w:val="0"/>
          <w:iCs w:val="0"/>
          <w:color w:val="auto"/>
          <w:sz w:val="32"/>
          <w:szCs w:val="32"/>
          <w:shd w:val="clear" w:color="auto" w:fill="FFFFFF"/>
          <w:lang w:val="en-US" w:eastAsia="zh-CN" w:bidi="ar"/>
        </w:rPr>
        <w:t>保障</w:t>
      </w:r>
    </w:p>
    <w:p w14:paraId="54E0CF1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6.6 信息保障</w:t>
      </w:r>
    </w:p>
    <w:p w14:paraId="74718B47">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6.7 社会动员保障</w:t>
      </w:r>
    </w:p>
    <w:p w14:paraId="3BE22ED9">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黑体" w:hAnsi="黑体" w:eastAsia="黑体" w:cs="黑体"/>
          <w:b w:val="0"/>
          <w:bCs w:val="0"/>
          <w:i w:val="0"/>
          <w:iCs w:val="0"/>
          <w:color w:val="auto"/>
          <w:sz w:val="32"/>
          <w:szCs w:val="32"/>
          <w:shd w:val="clear" w:color="auto" w:fill="FFFFFF"/>
          <w:lang w:val="en" w:eastAsia="zh-CN" w:bidi="ar"/>
        </w:rPr>
        <w:t>7 日常管理与责任奖惩</w:t>
      </w:r>
    </w:p>
    <w:p w14:paraId="0EA7C7DC">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7.1 宣传培训</w:t>
      </w:r>
    </w:p>
    <w:p w14:paraId="1CF02829">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7.2 </w:t>
      </w:r>
      <w:r>
        <w:rPr>
          <w:rFonts w:hint="eastAsia" w:ascii="楷体_GB2312" w:hAnsi="楷体_GB2312" w:eastAsia="楷体_GB2312" w:cs="楷体_GB2312"/>
          <w:b w:val="0"/>
          <w:bCs w:val="0"/>
          <w:i w:val="0"/>
          <w:iCs w:val="0"/>
          <w:color w:val="auto"/>
          <w:sz w:val="32"/>
          <w:szCs w:val="32"/>
          <w:shd w:val="clear" w:color="auto" w:fill="FFFFFF"/>
          <w:lang w:val="en-US" w:eastAsia="zh-CN" w:bidi="ar"/>
        </w:rPr>
        <w:t>预案编制</w:t>
      </w:r>
    </w:p>
    <w:p w14:paraId="64C7522E">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7.3 应急演练</w:t>
      </w:r>
    </w:p>
    <w:p w14:paraId="5FB8C5E0">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7.4 责任与奖惩</w:t>
      </w:r>
    </w:p>
    <w:p w14:paraId="224CFD48">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黑体" w:hAnsi="黑体" w:eastAsia="黑体" w:cs="黑体"/>
          <w:b w:val="0"/>
          <w:bCs w:val="0"/>
          <w:i w:val="0"/>
          <w:iCs w:val="0"/>
          <w:color w:val="auto"/>
          <w:sz w:val="32"/>
          <w:szCs w:val="32"/>
          <w:shd w:val="clear" w:color="auto" w:fill="FFFFFF"/>
          <w:lang w:val="en" w:eastAsia="zh-CN" w:bidi="ar"/>
        </w:rPr>
        <w:t>8 附则</w:t>
      </w:r>
    </w:p>
    <w:p w14:paraId="6E8DD3AD">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8.1 预案解释</w:t>
      </w:r>
    </w:p>
    <w:p w14:paraId="55333BE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8.2 生效时间</w:t>
      </w:r>
    </w:p>
    <w:p w14:paraId="643D30BC">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8.3 名词术语解释</w:t>
      </w:r>
    </w:p>
    <w:p w14:paraId="1E5E97A8">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黑体" w:hAnsi="黑体" w:eastAsia="黑体" w:cs="黑体"/>
          <w:b w:val="0"/>
          <w:bCs w:val="0"/>
          <w:i w:val="0"/>
          <w:iCs w:val="0"/>
          <w:color w:val="auto"/>
          <w:sz w:val="32"/>
          <w:szCs w:val="32"/>
          <w:shd w:val="clear" w:color="auto" w:fill="FFFFFF"/>
          <w:lang w:val="en" w:eastAsia="zh-CN" w:bidi="ar"/>
        </w:rPr>
        <w:t>9 附件</w:t>
      </w:r>
    </w:p>
    <w:p w14:paraId="2B5CA36D">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9.1 药品安全突发事件分级标准</w:t>
      </w:r>
    </w:p>
    <w:p w14:paraId="245E4830">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9.2 医疗器械安全突发事件分级标准</w:t>
      </w:r>
    </w:p>
    <w:p w14:paraId="2DEC3794">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9.3 化妆品安全突发事件分级标准</w:t>
      </w:r>
    </w:p>
    <w:p w14:paraId="510F31A8">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9.4 疫苗质量安全事件分级标准</w:t>
      </w:r>
    </w:p>
    <w:p w14:paraId="37573DEA">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960" w:firstLineChars="300"/>
        <w:jc w:val="both"/>
        <w:textAlignment w:val="auto"/>
        <w:rPr>
          <w:rFonts w:hint="eastAsia" w:ascii="黑体" w:hAnsi="黑体" w:eastAsia="黑体" w:cs="黑体"/>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9.5 相关成员单位及职责</w:t>
      </w:r>
    </w:p>
    <w:p w14:paraId="5AB094B6">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lang w:val="en-US" w:eastAsia="zh-CN" w:bidi="ar-SA"/>
        </w:rPr>
      </w:pPr>
      <w:r>
        <w:rPr>
          <w:rFonts w:hint="eastAsia" w:ascii="黑体" w:hAnsi="黑体" w:eastAsia="黑体" w:cs="黑体"/>
          <w:b w:val="0"/>
          <w:bCs w:val="0"/>
          <w:i w:val="0"/>
          <w:iCs w:val="0"/>
          <w:color w:val="auto"/>
          <w:sz w:val="32"/>
          <w:szCs w:val="32"/>
          <w:shd w:val="clear" w:color="auto" w:fill="FFFFFF"/>
          <w:lang w:val="en" w:eastAsia="zh-CN" w:bidi="ar-SA"/>
        </w:rPr>
        <w:br w:type="page"/>
      </w:r>
      <w:r>
        <w:rPr>
          <w:rFonts w:hint="eastAsia" w:ascii="黑体" w:hAnsi="黑体" w:eastAsia="黑体" w:cs="黑体"/>
          <w:b w:val="0"/>
          <w:bCs w:val="0"/>
          <w:i w:val="0"/>
          <w:iCs w:val="0"/>
          <w:color w:val="auto"/>
          <w:sz w:val="32"/>
          <w:szCs w:val="32"/>
          <w:shd w:val="clear" w:color="auto" w:fill="FFFFFF"/>
          <w:lang w:val="en" w:eastAsia="zh-CN" w:bidi="ar-SA"/>
        </w:rPr>
        <w:t xml:space="preserve">1 </w:t>
      </w:r>
      <w:r>
        <w:rPr>
          <w:rFonts w:hint="eastAsia" w:ascii="黑体" w:hAnsi="黑体" w:eastAsia="黑体" w:cs="黑体"/>
          <w:b w:val="0"/>
          <w:bCs w:val="0"/>
          <w:i w:val="0"/>
          <w:iCs w:val="0"/>
          <w:color w:val="auto"/>
          <w:sz w:val="32"/>
          <w:szCs w:val="32"/>
          <w:shd w:val="clear" w:color="auto" w:fill="FFFFFF"/>
          <w:lang w:val="en-US" w:eastAsia="zh-CN" w:bidi="ar-SA"/>
        </w:rPr>
        <w:t>总则</w:t>
      </w:r>
    </w:p>
    <w:p w14:paraId="6326EA89">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1.1 </w:t>
      </w:r>
      <w:r>
        <w:rPr>
          <w:rFonts w:hint="eastAsia" w:ascii="楷体_GB2312" w:hAnsi="楷体_GB2312" w:eastAsia="楷体_GB2312" w:cs="楷体_GB2312"/>
          <w:b w:val="0"/>
          <w:bCs w:val="0"/>
          <w:i w:val="0"/>
          <w:iCs w:val="0"/>
          <w:color w:val="auto"/>
          <w:sz w:val="32"/>
          <w:szCs w:val="32"/>
          <w:shd w:val="clear" w:color="auto" w:fill="FFFFFF"/>
          <w:lang w:val="en-US" w:eastAsia="zh-CN" w:bidi="ar"/>
        </w:rPr>
        <w:t>编制目的</w:t>
      </w:r>
    </w:p>
    <w:p w14:paraId="5C6CAE2D">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Times New Roman" w:hAnsi="Times New Roman" w:eastAsia="方正仿宋_GBK" w:cs="Times New Roman"/>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为指导和规范全区</w:t>
      </w:r>
      <w:r>
        <w:rPr>
          <w:rFonts w:hint="eastAsia" w:ascii="仿宋_GB2312" w:hAnsi="仿宋_GB2312" w:eastAsia="仿宋_GB2312" w:cs="仿宋_GB2312"/>
          <w:b w:val="0"/>
          <w:bCs w:val="0"/>
          <w:i w:val="0"/>
          <w:iCs w:val="0"/>
          <w:color w:val="auto"/>
          <w:sz w:val="32"/>
          <w:szCs w:val="32"/>
          <w:shd w:val="clear" w:color="auto" w:fill="FFFFFF"/>
          <w:lang w:val="en" w:eastAsia="zh-CN" w:bidi="ar-SA"/>
        </w:rPr>
        <w:t>药品（含疫苗、医疗器械和化妆品，下同）安全突发事件（以下简称“突发事件”）的</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应急处置工作，有效预防、积极应对、及时控制事件</w:t>
      </w:r>
      <w:r>
        <w:rPr>
          <w:rFonts w:hint="eastAsia" w:ascii="仿宋_GB2312" w:hAnsi="仿宋_GB2312" w:eastAsia="仿宋_GB2312" w:cs="仿宋_GB2312"/>
          <w:b w:val="0"/>
          <w:bCs w:val="0"/>
          <w:i w:val="0"/>
          <w:iCs w:val="0"/>
          <w:color w:val="auto"/>
          <w:sz w:val="32"/>
          <w:szCs w:val="32"/>
          <w:shd w:val="clear" w:color="auto" w:fill="FFFFFF"/>
          <w:lang w:val="en" w:eastAsia="zh-CN" w:bidi="ar-SA"/>
        </w:rPr>
        <w:t>，最大限度降低危害</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，保障公众健康和生命安全，维护正常的社会经济秩序。</w:t>
      </w:r>
    </w:p>
    <w:p w14:paraId="17EA1883">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1.2 编制依据</w:t>
      </w:r>
    </w:p>
    <w:p w14:paraId="5270AC1A">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依据《中华人民共和国突发事件应对法》《中华人民共和国药品管理法》《中华人民共和国疫苗管理法》《中华人民共和国药品管理法实施条例》《医疗器械监督管理条例》《化妆品监督管理条例》《突发事件应急预案管理办法》《药品安全突发事件应急预案》《医疗器械安全突发事件应急预案》《化妆品安全突发事件应急预案》《疫苗质量安全事件应急预案（试行）》《安徽省突发事件总体应急预案》《安徽省药品安全突发事件应急预案》《芜湖市突发事件总体应急预案》《芜湖市药品安全突发事件应急预案》等法律法规及相关应急预案，编制本预案。</w:t>
      </w:r>
    </w:p>
    <w:p w14:paraId="4D94D702">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1.3 适用范围</w:t>
      </w:r>
    </w:p>
    <w:p w14:paraId="448852B3">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b w:val="0"/>
          <w:bCs w:val="0"/>
          <w:i w:val="0"/>
          <w:iCs w:val="0"/>
          <w:color w:val="auto"/>
          <w:kern w:val="0"/>
          <w:sz w:val="32"/>
          <w:szCs w:val="32"/>
          <w:shd w:val="clear" w:color="auto" w:fill="FFFFFF"/>
          <w:lang w:bidi="ar"/>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 xml:space="preserve">本预案适用于全区范围内发生药品安全突发事件的应急处置工作。 </w:t>
      </w:r>
    </w:p>
    <w:p w14:paraId="404B715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1.4 突发事件分类分级</w:t>
      </w:r>
      <w:bookmarkStart w:id="1" w:name="_Toc54085880"/>
      <w:bookmarkStart w:id="2" w:name="_Toc82092253"/>
    </w:p>
    <w:p w14:paraId="6BE8AD66">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1.4.1 突发</w:t>
      </w:r>
      <w:r>
        <w:rPr>
          <w:rFonts w:hint="eastAsia" w:ascii="楷体_GB2312" w:hAnsi="楷体_GB2312" w:eastAsia="楷体_GB2312" w:cs="楷体_GB2312"/>
          <w:b w:val="0"/>
          <w:bCs w:val="0"/>
          <w:i w:val="0"/>
          <w:iCs w:val="0"/>
          <w:color w:val="auto"/>
          <w:sz w:val="32"/>
          <w:szCs w:val="32"/>
          <w:shd w:val="clear" w:color="auto" w:fill="FFFFFF"/>
          <w:lang w:val="en-US" w:eastAsia="zh-CN" w:bidi="ar"/>
        </w:rPr>
        <w:t>事件分类</w:t>
      </w:r>
      <w:bookmarkEnd w:id="1"/>
      <w:bookmarkEnd w:id="2"/>
    </w:p>
    <w:p w14:paraId="60F3CABB">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本预案所称药品安全</w:t>
      </w:r>
      <w:r>
        <w:rPr>
          <w:rFonts w:hint="eastAsia" w:ascii="仿宋_GB2312" w:hAnsi="仿宋_GB2312" w:eastAsia="仿宋_GB2312" w:cs="仿宋_GB2312"/>
          <w:b w:val="0"/>
          <w:bCs w:val="0"/>
          <w:i w:val="0"/>
          <w:iCs w:val="0"/>
          <w:color w:val="auto"/>
          <w:sz w:val="32"/>
          <w:szCs w:val="32"/>
          <w:shd w:val="clear" w:color="auto" w:fill="FFFFFF"/>
          <w:lang w:val="en" w:eastAsia="zh-CN" w:bidi="ar-SA"/>
        </w:rPr>
        <w:t>突发事件</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是指对社会公众生命健康造成或可能造成严重损害，需要采取应急处置措施予以应对的以下事件：</w:t>
      </w:r>
    </w:p>
    <w:p w14:paraId="2258B6C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①</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药品群体不良事件、药品质量事件；</w:t>
      </w:r>
    </w:p>
    <w:p w14:paraId="476F7B58">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②</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医疗器械群体不良事件、医疗器械质量事件；</w:t>
      </w:r>
    </w:p>
    <w:p w14:paraId="245ADA47">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③</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化妆品群体不良反应事件、化妆品质量事件；</w:t>
      </w:r>
    </w:p>
    <w:p w14:paraId="6F91C8E2">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④</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疫苗疑似预防接种反应、群体不良事件，经卫生健康主管部门组织专家调查诊断确认或者怀疑与疫苗质量有关，或者日常监督检查和风险监测中发现的疫苗质量安全信息；</w:t>
      </w:r>
    </w:p>
    <w:p w14:paraId="49B392D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⑤其他严重影响公众生命健康的药品、医疗器械、化妆品安全突发事件和疫苗质量安全事件。</w:t>
      </w:r>
    </w:p>
    <w:p w14:paraId="7996141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1.4.2 突发事件</w:t>
      </w:r>
      <w:r>
        <w:rPr>
          <w:rFonts w:hint="eastAsia" w:ascii="楷体_GB2312" w:hAnsi="楷体_GB2312" w:eastAsia="楷体_GB2312" w:cs="楷体_GB2312"/>
          <w:b w:val="0"/>
          <w:bCs w:val="0"/>
          <w:i w:val="0"/>
          <w:iCs w:val="0"/>
          <w:color w:val="auto"/>
          <w:sz w:val="32"/>
          <w:szCs w:val="32"/>
          <w:shd w:val="clear" w:color="auto" w:fill="FFFFFF"/>
          <w:lang w:val="en-US" w:eastAsia="zh-CN" w:bidi="ar"/>
        </w:rPr>
        <w:t>分级</w:t>
      </w:r>
    </w:p>
    <w:p w14:paraId="5B3296FD">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根据突发事件性质、危害程度和影响范围等因素，分为特别重大事件（Ⅰ级）、重大事件（Ⅱ级）、较大事件（Ⅲ级）和一般事件（Ⅳ级）</w:t>
      </w:r>
      <w:r>
        <w:rPr>
          <w:rFonts w:hint="eastAsia" w:ascii="仿宋_GB2312" w:hAnsi="仿宋_GB2312" w:eastAsia="仿宋_GB2312" w:cs="仿宋_GB2312"/>
          <w:b w:val="0"/>
          <w:bCs w:val="0"/>
          <w:i w:val="0"/>
          <w:iCs w:val="0"/>
          <w:color w:val="auto"/>
          <w:sz w:val="32"/>
          <w:szCs w:val="32"/>
          <w:lang w:val="en" w:eastAsia="zh-CN" w:bidi="ar"/>
        </w:rPr>
        <w:t>4个等级（具体分级标准</w:t>
      </w:r>
      <w:r>
        <w:rPr>
          <w:rFonts w:hint="eastAsia" w:ascii="仿宋_GB2312" w:hAnsi="仿宋_GB2312" w:eastAsia="仿宋_GB2312" w:cs="仿宋_GB2312"/>
          <w:b w:val="0"/>
          <w:bCs w:val="0"/>
          <w:i w:val="0"/>
          <w:iCs w:val="0"/>
          <w:color w:val="auto"/>
          <w:sz w:val="32"/>
          <w:szCs w:val="32"/>
          <w:lang w:val="en-US" w:eastAsia="zh-CN" w:bidi="ar"/>
        </w:rPr>
        <w:t>详见附件</w:t>
      </w:r>
      <w:r>
        <w:rPr>
          <w:rFonts w:hint="eastAsia" w:ascii="仿宋_GB2312" w:hAnsi="仿宋_GB2312" w:eastAsia="仿宋_GB2312" w:cs="仿宋_GB2312"/>
          <w:b w:val="0"/>
          <w:bCs w:val="0"/>
          <w:i w:val="0"/>
          <w:iCs w:val="0"/>
          <w:color w:val="auto"/>
          <w:sz w:val="32"/>
          <w:szCs w:val="32"/>
          <w:lang w:val="en" w:eastAsia="zh-CN" w:bidi="ar"/>
        </w:rPr>
        <w:t>1-4）</w:t>
      </w:r>
      <w:r>
        <w:rPr>
          <w:rFonts w:hint="eastAsia" w:ascii="仿宋_GB2312" w:hAnsi="仿宋_GB2312" w:eastAsia="仿宋_GB2312" w:cs="仿宋_GB2312"/>
          <w:b w:val="0"/>
          <w:bCs w:val="0"/>
          <w:i w:val="0"/>
          <w:iCs w:val="0"/>
          <w:color w:val="auto"/>
          <w:sz w:val="32"/>
          <w:szCs w:val="32"/>
          <w:lang w:val="en-US" w:eastAsia="zh-CN" w:bidi="ar"/>
        </w:rPr>
        <w:t>。</w:t>
      </w:r>
    </w:p>
    <w:p w14:paraId="0029AA97">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1.5 工作原则</w:t>
      </w:r>
    </w:p>
    <w:p w14:paraId="74A173E4">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 w:eastAsia="zh-CN" w:bidi="ar"/>
        </w:rPr>
      </w:pPr>
      <w:r>
        <w:rPr>
          <w:rFonts w:hint="eastAsia" w:ascii="仿宋_GB2312" w:hAnsi="仿宋_GB2312" w:eastAsia="仿宋_GB2312" w:cs="仿宋_GB2312"/>
          <w:b w:val="0"/>
          <w:bCs w:val="0"/>
          <w:i w:val="0"/>
          <w:iCs w:val="0"/>
          <w:color w:val="auto"/>
          <w:sz w:val="32"/>
          <w:szCs w:val="32"/>
          <w:lang w:val="en" w:eastAsia="zh-CN" w:bidi="ar"/>
        </w:rPr>
        <w:t>人民至上、生命至上，统一领导、分级负责，快速反应、协同应对，预防为主、依法处置。</w:t>
      </w:r>
    </w:p>
    <w:p w14:paraId="60E11971">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SA"/>
        </w:rPr>
      </w:pPr>
      <w:r>
        <w:rPr>
          <w:rFonts w:hint="eastAsia" w:ascii="黑体" w:hAnsi="黑体" w:eastAsia="黑体" w:cs="黑体"/>
          <w:b w:val="0"/>
          <w:bCs w:val="0"/>
          <w:i w:val="0"/>
          <w:iCs w:val="0"/>
          <w:color w:val="auto"/>
          <w:sz w:val="32"/>
          <w:szCs w:val="32"/>
          <w:shd w:val="clear" w:color="auto" w:fill="FFFFFF"/>
          <w:lang w:val="en" w:eastAsia="zh-CN" w:bidi="ar-SA"/>
        </w:rPr>
        <w:t>2 组织指挥体系</w:t>
      </w:r>
    </w:p>
    <w:p w14:paraId="01C8C896">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2.1 </w:t>
      </w:r>
      <w:r>
        <w:rPr>
          <w:rFonts w:hint="eastAsia" w:ascii="楷体_GB2312" w:hAnsi="楷体_GB2312" w:eastAsia="楷体_GB2312" w:cs="楷体_GB2312"/>
          <w:b w:val="0"/>
          <w:bCs w:val="0"/>
          <w:i w:val="0"/>
          <w:iCs w:val="0"/>
          <w:color w:val="auto"/>
          <w:sz w:val="32"/>
          <w:szCs w:val="32"/>
          <w:shd w:val="clear" w:color="auto" w:fill="FFFFFF"/>
          <w:lang w:val="en-US" w:eastAsia="zh-CN" w:bidi="ar"/>
        </w:rPr>
        <w:t>区</w:t>
      </w:r>
      <w:r>
        <w:rPr>
          <w:rFonts w:hint="eastAsia" w:ascii="楷体_GB2312" w:hAnsi="楷体_GB2312" w:eastAsia="楷体_GB2312" w:cs="楷体_GB2312"/>
          <w:b w:val="0"/>
          <w:bCs w:val="0"/>
          <w:i w:val="0"/>
          <w:iCs w:val="0"/>
          <w:color w:val="auto"/>
          <w:sz w:val="32"/>
          <w:szCs w:val="32"/>
          <w:shd w:val="clear" w:color="auto" w:fill="FFFFFF"/>
          <w:lang w:val="en" w:eastAsia="zh-CN" w:bidi="ar"/>
        </w:rPr>
        <w:t>应急指挥部</w:t>
      </w:r>
    </w:p>
    <w:p w14:paraId="0A1571EC">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 w:eastAsia="zh-CN" w:bidi="ar"/>
        </w:rPr>
        <w:t>当启动</w:t>
      </w:r>
      <w:r>
        <w:rPr>
          <w:rFonts w:hint="eastAsia" w:ascii="仿宋_GB2312" w:hAnsi="仿宋_GB2312" w:eastAsia="仿宋_GB2312" w:cs="仿宋_GB2312"/>
          <w:b w:val="0"/>
          <w:bCs w:val="0"/>
          <w:i w:val="0"/>
          <w:iCs w:val="0"/>
          <w:color w:val="auto"/>
          <w:sz w:val="32"/>
          <w:szCs w:val="32"/>
          <w:lang w:val="en-US" w:eastAsia="zh-CN" w:bidi="ar"/>
        </w:rPr>
        <w:t>Ⅳ级及以上</w:t>
      </w:r>
      <w:r>
        <w:rPr>
          <w:rFonts w:hint="eastAsia" w:ascii="仿宋_GB2312" w:hAnsi="仿宋_GB2312" w:eastAsia="仿宋_GB2312" w:cs="仿宋_GB2312"/>
          <w:b w:val="0"/>
          <w:bCs w:val="0"/>
          <w:i w:val="0"/>
          <w:iCs w:val="0"/>
          <w:color w:val="auto"/>
          <w:sz w:val="32"/>
          <w:szCs w:val="32"/>
          <w:lang w:val="en" w:eastAsia="zh-CN" w:bidi="ar"/>
        </w:rPr>
        <w:t>突发事件应急响应时</w:t>
      </w:r>
      <w:r>
        <w:rPr>
          <w:rFonts w:hint="eastAsia" w:ascii="仿宋_GB2312" w:hAnsi="仿宋_GB2312" w:eastAsia="仿宋_GB2312" w:cs="仿宋_GB2312"/>
          <w:b w:val="0"/>
          <w:bCs w:val="0"/>
          <w:i w:val="0"/>
          <w:iCs w:val="0"/>
          <w:color w:val="auto"/>
          <w:sz w:val="32"/>
          <w:szCs w:val="32"/>
          <w:lang w:val="en-US" w:eastAsia="zh-CN" w:bidi="ar"/>
        </w:rPr>
        <w:t>，根据需要成立区应急指挥部，统一指挥、协调突发</w:t>
      </w:r>
      <w:r>
        <w:rPr>
          <w:rFonts w:hint="eastAsia" w:ascii="仿宋_GB2312" w:hAnsi="仿宋_GB2312" w:eastAsia="仿宋_GB2312" w:cs="仿宋_GB2312"/>
          <w:b w:val="0"/>
          <w:bCs w:val="0"/>
          <w:i w:val="0"/>
          <w:iCs w:val="0"/>
          <w:color w:val="auto"/>
          <w:sz w:val="32"/>
          <w:szCs w:val="32"/>
          <w:lang w:val="en" w:eastAsia="zh-CN" w:bidi="ar"/>
        </w:rPr>
        <w:t>事件</w:t>
      </w:r>
      <w:r>
        <w:rPr>
          <w:rFonts w:hint="eastAsia" w:ascii="仿宋_GB2312" w:hAnsi="仿宋_GB2312" w:eastAsia="仿宋_GB2312" w:cs="仿宋_GB2312"/>
          <w:b w:val="0"/>
          <w:bCs w:val="0"/>
          <w:i w:val="0"/>
          <w:iCs w:val="0"/>
          <w:color w:val="auto"/>
          <w:sz w:val="32"/>
          <w:szCs w:val="32"/>
          <w:lang w:val="en-US" w:eastAsia="zh-CN" w:bidi="ar"/>
        </w:rPr>
        <w:t>应急处置工作。区应急指挥部由区人民政府分管副区长任总指挥，区政府办主任和区市场监管局、区卫健委主要负责同志任副总指挥，成员单位有区委宣传部（网信办）、区教育局、区工信局、区民政局、区财政局、区住交局、区文旅体局、区卫健委、区应急管理局、区市场监管局、区信访局、区公安分局、区医保分局（相关成员单位及职责详见附件</w:t>
      </w:r>
      <w:r>
        <w:rPr>
          <w:rFonts w:hint="eastAsia" w:ascii="仿宋_GB2312" w:hAnsi="仿宋_GB2312" w:eastAsia="仿宋_GB2312" w:cs="仿宋_GB2312"/>
          <w:b w:val="0"/>
          <w:bCs w:val="0"/>
          <w:i w:val="0"/>
          <w:iCs w:val="0"/>
          <w:color w:val="auto"/>
          <w:sz w:val="32"/>
          <w:szCs w:val="32"/>
          <w:lang w:val="en" w:eastAsia="zh-CN" w:bidi="ar"/>
        </w:rPr>
        <w:t>5</w:t>
      </w:r>
      <w:r>
        <w:rPr>
          <w:rFonts w:hint="eastAsia" w:ascii="仿宋_GB2312" w:hAnsi="仿宋_GB2312" w:eastAsia="仿宋_GB2312" w:cs="仿宋_GB2312"/>
          <w:b w:val="0"/>
          <w:bCs w:val="0"/>
          <w:i w:val="0"/>
          <w:iCs w:val="0"/>
          <w:color w:val="auto"/>
          <w:sz w:val="32"/>
          <w:szCs w:val="32"/>
          <w:lang w:val="en-US" w:eastAsia="zh-CN" w:bidi="ar"/>
        </w:rPr>
        <w:t>）。区应急指挥部根据处置工作需要，可增加有关部门为成员单位。</w:t>
      </w:r>
    </w:p>
    <w:p w14:paraId="168D2B16">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主要职责：统一指挥、协调突发</w:t>
      </w:r>
      <w:r>
        <w:rPr>
          <w:rFonts w:hint="eastAsia" w:ascii="仿宋_GB2312" w:hAnsi="仿宋_GB2312" w:eastAsia="仿宋_GB2312" w:cs="仿宋_GB2312"/>
          <w:b w:val="0"/>
          <w:bCs w:val="0"/>
          <w:i w:val="0"/>
          <w:iCs w:val="0"/>
          <w:color w:val="auto"/>
          <w:sz w:val="32"/>
          <w:szCs w:val="32"/>
          <w:lang w:val="en" w:eastAsia="zh-CN" w:bidi="ar"/>
        </w:rPr>
        <w:t>事件</w:t>
      </w:r>
      <w:r>
        <w:rPr>
          <w:rFonts w:hint="eastAsia" w:ascii="仿宋_GB2312" w:hAnsi="仿宋_GB2312" w:eastAsia="仿宋_GB2312" w:cs="仿宋_GB2312"/>
          <w:b w:val="0"/>
          <w:bCs w:val="0"/>
          <w:i w:val="0"/>
          <w:iCs w:val="0"/>
          <w:color w:val="auto"/>
          <w:sz w:val="32"/>
          <w:szCs w:val="32"/>
          <w:lang w:val="en-US" w:eastAsia="zh-CN" w:bidi="ar"/>
        </w:rPr>
        <w:t>的应急处置工作，作出应急决策和部署，指导善后处置；审议重大信息的发布，审议批准区应急指挥部办公室提交的应急处置工作报告；向区委、区政府和市有关部门报告有关情况。</w:t>
      </w:r>
    </w:p>
    <w:p w14:paraId="14285F9E">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2.2 </w:t>
      </w:r>
      <w:r>
        <w:rPr>
          <w:rFonts w:hint="eastAsia" w:ascii="楷体_GB2312" w:hAnsi="楷体_GB2312" w:eastAsia="楷体_GB2312" w:cs="楷体_GB2312"/>
          <w:b w:val="0"/>
          <w:bCs w:val="0"/>
          <w:i w:val="0"/>
          <w:iCs w:val="0"/>
          <w:color w:val="auto"/>
          <w:sz w:val="32"/>
          <w:szCs w:val="32"/>
          <w:shd w:val="clear" w:color="auto" w:fill="FFFFFF"/>
          <w:lang w:val="en-US" w:eastAsia="zh-CN" w:bidi="ar"/>
        </w:rPr>
        <w:t>区</w:t>
      </w:r>
      <w:r>
        <w:rPr>
          <w:rFonts w:hint="eastAsia" w:ascii="楷体_GB2312" w:hAnsi="楷体_GB2312" w:eastAsia="楷体_GB2312" w:cs="楷体_GB2312"/>
          <w:b w:val="0"/>
          <w:bCs w:val="0"/>
          <w:i w:val="0"/>
          <w:iCs w:val="0"/>
          <w:color w:val="auto"/>
          <w:sz w:val="32"/>
          <w:szCs w:val="32"/>
          <w:shd w:val="clear" w:color="auto" w:fill="FFFFFF"/>
          <w:lang w:val="en" w:eastAsia="zh-CN" w:bidi="ar"/>
        </w:rPr>
        <w:t>应急指挥部办公室</w:t>
      </w:r>
    </w:p>
    <w:p w14:paraId="1D6571C6">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区应急指挥部下设办公室，为区应急指挥部日常工作机构。办公室设在区市场监管局，主任由区市场监管局主要负责同志兼任。</w:t>
      </w:r>
    </w:p>
    <w:p w14:paraId="4ADA92E5">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主要职责：承担区应急指挥部的日常工作和突发事件处置中的综合协调工作；贯彻落实区应急指挥部各项部署，督促落实处置措施，并对处置全过程进行分析研判；收集整理相关信息，及时向区应急指挥部报告应急处置工作情况，并向有关部门通报应急处置工作进展；根据区应急指挥部授权，组织信息发布、接受媒体采访；承担区应急指挥部交办的其他事项。</w:t>
      </w:r>
    </w:p>
    <w:p w14:paraId="004F04B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2.3 工作组</w:t>
      </w:r>
    </w:p>
    <w:p w14:paraId="3E21E12A">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 w:eastAsia="zh-CN" w:bidi="ar"/>
        </w:rPr>
      </w:pPr>
      <w:r>
        <w:rPr>
          <w:rFonts w:hint="eastAsia" w:ascii="仿宋_GB2312" w:hAnsi="仿宋_GB2312" w:eastAsia="仿宋_GB2312" w:cs="仿宋_GB2312"/>
          <w:b w:val="0"/>
          <w:bCs w:val="0"/>
          <w:i w:val="0"/>
          <w:iCs w:val="0"/>
          <w:color w:val="auto"/>
          <w:sz w:val="32"/>
          <w:szCs w:val="32"/>
          <w:lang w:val="en-US" w:eastAsia="zh-CN" w:bidi="ar"/>
        </w:rPr>
        <w:t>根据突发</w:t>
      </w:r>
      <w:r>
        <w:rPr>
          <w:rFonts w:hint="eastAsia" w:ascii="仿宋_GB2312" w:hAnsi="仿宋_GB2312" w:eastAsia="仿宋_GB2312" w:cs="仿宋_GB2312"/>
          <w:b w:val="0"/>
          <w:bCs w:val="0"/>
          <w:i w:val="0"/>
          <w:iCs w:val="0"/>
          <w:color w:val="auto"/>
          <w:sz w:val="32"/>
          <w:szCs w:val="32"/>
          <w:lang w:val="en" w:eastAsia="zh-CN" w:bidi="ar"/>
        </w:rPr>
        <w:t>事件</w:t>
      </w:r>
      <w:r>
        <w:rPr>
          <w:rFonts w:hint="eastAsia" w:ascii="仿宋_GB2312" w:hAnsi="仿宋_GB2312" w:eastAsia="仿宋_GB2312" w:cs="仿宋_GB2312"/>
          <w:b w:val="0"/>
          <w:bCs w:val="0"/>
          <w:i w:val="0"/>
          <w:iCs w:val="0"/>
          <w:color w:val="auto"/>
          <w:sz w:val="32"/>
          <w:szCs w:val="32"/>
          <w:lang w:val="en-US" w:eastAsia="zh-CN" w:bidi="ar"/>
        </w:rPr>
        <w:t>处置需要，区应急指挥部下设若干工作组</w:t>
      </w:r>
      <w:r>
        <w:rPr>
          <w:rFonts w:hint="eastAsia" w:ascii="仿宋_GB2312" w:hAnsi="仿宋_GB2312" w:eastAsia="仿宋_GB2312" w:cs="仿宋_GB2312"/>
          <w:b w:val="0"/>
          <w:bCs w:val="0"/>
          <w:i w:val="0"/>
          <w:iCs w:val="0"/>
          <w:color w:val="auto"/>
          <w:sz w:val="32"/>
          <w:szCs w:val="32"/>
          <w:lang w:val="en" w:eastAsia="zh-CN" w:bidi="ar"/>
        </w:rPr>
        <w:t>，在</w:t>
      </w:r>
      <w:r>
        <w:rPr>
          <w:rFonts w:hint="eastAsia" w:ascii="仿宋_GB2312" w:hAnsi="仿宋_GB2312" w:eastAsia="仿宋_GB2312" w:cs="仿宋_GB2312"/>
          <w:b w:val="0"/>
          <w:bCs w:val="0"/>
          <w:i w:val="0"/>
          <w:iCs w:val="0"/>
          <w:color w:val="auto"/>
          <w:sz w:val="32"/>
          <w:szCs w:val="32"/>
          <w:lang w:val="en-US" w:eastAsia="zh-CN" w:bidi="ar"/>
        </w:rPr>
        <w:t>区</w:t>
      </w:r>
      <w:r>
        <w:rPr>
          <w:rFonts w:hint="eastAsia" w:ascii="仿宋_GB2312" w:hAnsi="仿宋_GB2312" w:eastAsia="仿宋_GB2312" w:cs="仿宋_GB2312"/>
          <w:b w:val="0"/>
          <w:bCs w:val="0"/>
          <w:i w:val="0"/>
          <w:iCs w:val="0"/>
          <w:color w:val="auto"/>
          <w:sz w:val="32"/>
          <w:szCs w:val="32"/>
          <w:lang w:val="en" w:eastAsia="zh-CN" w:bidi="ar"/>
        </w:rPr>
        <w:t>应急指挥部统一领导下开展工作，并按要求向</w:t>
      </w:r>
      <w:r>
        <w:rPr>
          <w:rFonts w:hint="eastAsia" w:ascii="仿宋_GB2312" w:hAnsi="仿宋_GB2312" w:eastAsia="仿宋_GB2312" w:cs="仿宋_GB2312"/>
          <w:b w:val="0"/>
          <w:bCs w:val="0"/>
          <w:i w:val="0"/>
          <w:iCs w:val="0"/>
          <w:color w:val="auto"/>
          <w:sz w:val="32"/>
          <w:szCs w:val="32"/>
          <w:lang w:val="en-US" w:eastAsia="zh-CN" w:bidi="ar"/>
        </w:rPr>
        <w:t>区</w:t>
      </w:r>
      <w:r>
        <w:rPr>
          <w:rFonts w:hint="eastAsia" w:ascii="仿宋_GB2312" w:hAnsi="仿宋_GB2312" w:eastAsia="仿宋_GB2312" w:cs="仿宋_GB2312"/>
          <w:b w:val="0"/>
          <w:bCs w:val="0"/>
          <w:i w:val="0"/>
          <w:iCs w:val="0"/>
          <w:color w:val="auto"/>
          <w:sz w:val="32"/>
          <w:szCs w:val="32"/>
          <w:lang w:val="en" w:eastAsia="zh-CN" w:bidi="ar"/>
        </w:rPr>
        <w:t>应急指挥部办公室报告工作进展情况。</w:t>
      </w:r>
    </w:p>
    <w:p w14:paraId="5EC92CB0">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2.3.1 综合协调组</w:t>
      </w:r>
    </w:p>
    <w:p w14:paraId="3D0576FC">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由区市场监管局牵头，区</w:t>
      </w:r>
      <w:r>
        <w:rPr>
          <w:rFonts w:hint="eastAsia" w:ascii="仿宋_GB2312" w:hAnsi="仿宋_GB2312" w:eastAsia="仿宋_GB2312" w:cs="仿宋_GB2312"/>
          <w:b w:val="0"/>
          <w:bCs w:val="0"/>
          <w:i w:val="0"/>
          <w:iCs w:val="0"/>
          <w:color w:val="auto"/>
          <w:sz w:val="32"/>
          <w:szCs w:val="32"/>
          <w:lang w:val="en" w:eastAsia="zh-CN" w:bidi="ar"/>
        </w:rPr>
        <w:t>财政局、</w:t>
      </w:r>
      <w:r>
        <w:rPr>
          <w:rFonts w:hint="eastAsia" w:ascii="仿宋_GB2312" w:hAnsi="仿宋_GB2312" w:eastAsia="仿宋_GB2312" w:cs="仿宋_GB2312"/>
          <w:b w:val="0"/>
          <w:bCs w:val="0"/>
          <w:i w:val="0"/>
          <w:iCs w:val="0"/>
          <w:color w:val="auto"/>
          <w:sz w:val="32"/>
          <w:szCs w:val="32"/>
          <w:lang w:val="en-US" w:eastAsia="zh-CN" w:bidi="ar"/>
        </w:rPr>
        <w:t>区卫健委</w:t>
      </w:r>
      <w:r>
        <w:rPr>
          <w:rFonts w:hint="eastAsia" w:ascii="仿宋_GB2312" w:hAnsi="仿宋_GB2312" w:eastAsia="仿宋_GB2312" w:cs="仿宋_GB2312"/>
          <w:b w:val="0"/>
          <w:bCs w:val="0"/>
          <w:i w:val="0"/>
          <w:iCs w:val="0"/>
          <w:color w:val="auto"/>
          <w:sz w:val="32"/>
          <w:szCs w:val="32"/>
          <w:lang w:val="en" w:eastAsia="zh-CN" w:bidi="ar"/>
        </w:rPr>
        <w:t>、</w:t>
      </w:r>
      <w:r>
        <w:rPr>
          <w:rFonts w:hint="eastAsia" w:ascii="仿宋_GB2312" w:hAnsi="仿宋_GB2312" w:eastAsia="仿宋_GB2312" w:cs="仿宋_GB2312"/>
          <w:b w:val="0"/>
          <w:bCs w:val="0"/>
          <w:i w:val="0"/>
          <w:iCs w:val="0"/>
          <w:color w:val="auto"/>
          <w:sz w:val="32"/>
          <w:szCs w:val="32"/>
          <w:lang w:val="en-US" w:eastAsia="zh-CN" w:bidi="ar"/>
        </w:rPr>
        <w:t>区住交局</w:t>
      </w:r>
      <w:r>
        <w:rPr>
          <w:rFonts w:hint="eastAsia" w:ascii="仿宋_GB2312" w:hAnsi="仿宋_GB2312" w:eastAsia="仿宋_GB2312" w:cs="仿宋_GB2312"/>
          <w:b w:val="0"/>
          <w:bCs w:val="0"/>
          <w:i w:val="0"/>
          <w:iCs w:val="0"/>
          <w:color w:val="auto"/>
          <w:sz w:val="32"/>
          <w:szCs w:val="32"/>
          <w:lang w:val="en" w:eastAsia="zh-CN" w:bidi="ar"/>
        </w:rPr>
        <w:t>等部门组成，负责</w:t>
      </w:r>
      <w:r>
        <w:rPr>
          <w:rFonts w:hint="eastAsia" w:ascii="仿宋_GB2312" w:hAnsi="仿宋_GB2312" w:eastAsia="仿宋_GB2312" w:cs="仿宋_GB2312"/>
          <w:b w:val="0"/>
          <w:bCs w:val="0"/>
          <w:i w:val="0"/>
          <w:iCs w:val="0"/>
          <w:color w:val="auto"/>
          <w:sz w:val="32"/>
          <w:szCs w:val="32"/>
          <w:lang w:val="en-US" w:eastAsia="zh-CN" w:bidi="ar"/>
        </w:rPr>
        <w:t>收集、汇总、上报突发事件信息和处置进展情况等工作，</w:t>
      </w:r>
      <w:r>
        <w:rPr>
          <w:rFonts w:hint="eastAsia" w:ascii="仿宋_GB2312" w:hAnsi="仿宋_GB2312" w:eastAsia="仿宋_GB2312" w:cs="仿宋_GB2312"/>
          <w:b w:val="0"/>
          <w:bCs w:val="0"/>
          <w:i w:val="0"/>
          <w:iCs w:val="0"/>
          <w:color w:val="auto"/>
          <w:sz w:val="32"/>
          <w:szCs w:val="32"/>
          <w:lang w:val="en" w:eastAsia="zh-CN" w:bidi="ar"/>
        </w:rPr>
        <w:t>做好应急处置综合协调和</w:t>
      </w:r>
      <w:r>
        <w:rPr>
          <w:rFonts w:hint="eastAsia" w:ascii="仿宋_GB2312" w:hAnsi="仿宋_GB2312" w:eastAsia="仿宋_GB2312" w:cs="仿宋_GB2312"/>
          <w:b w:val="0"/>
          <w:bCs w:val="0"/>
          <w:i w:val="0"/>
          <w:iCs w:val="0"/>
          <w:color w:val="auto"/>
          <w:sz w:val="32"/>
          <w:szCs w:val="32"/>
          <w:lang w:val="en-US" w:eastAsia="zh-CN" w:bidi="ar"/>
        </w:rPr>
        <w:t>后勤保障等工作。</w:t>
      </w:r>
    </w:p>
    <w:p w14:paraId="00000D15">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2.3.2 </w:t>
      </w:r>
      <w:r>
        <w:rPr>
          <w:rFonts w:hint="eastAsia" w:ascii="楷体_GB2312" w:hAnsi="楷体_GB2312" w:eastAsia="楷体_GB2312" w:cs="楷体_GB2312"/>
          <w:b w:val="0"/>
          <w:bCs w:val="0"/>
          <w:i w:val="0"/>
          <w:iCs w:val="0"/>
          <w:color w:val="auto"/>
          <w:sz w:val="32"/>
          <w:szCs w:val="32"/>
          <w:shd w:val="clear" w:color="auto" w:fill="FFFFFF"/>
          <w:lang w:val="en-US" w:eastAsia="zh-CN" w:bidi="ar"/>
        </w:rPr>
        <w:t>调查评估组</w:t>
      </w:r>
    </w:p>
    <w:p w14:paraId="7C83026F">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由区市场监管局牵头，区卫健委、区公安分局等部门组成，专业技术机构配合。负责调查事件原因，评估事件影响，研判发展趋势，作出调查结论，提出相关防范建议和处理意见。</w:t>
      </w:r>
    </w:p>
    <w:p w14:paraId="0AA2ED3C">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2.3.3 </w:t>
      </w:r>
      <w:r>
        <w:rPr>
          <w:rFonts w:hint="eastAsia" w:ascii="楷体_GB2312" w:hAnsi="楷体_GB2312" w:eastAsia="楷体_GB2312" w:cs="楷体_GB2312"/>
          <w:b w:val="0"/>
          <w:bCs w:val="0"/>
          <w:i w:val="0"/>
          <w:iCs w:val="0"/>
          <w:color w:val="auto"/>
          <w:sz w:val="32"/>
          <w:szCs w:val="32"/>
          <w:shd w:val="clear" w:color="auto" w:fill="FFFFFF"/>
          <w:lang w:val="en-US" w:eastAsia="zh-CN" w:bidi="ar"/>
        </w:rPr>
        <w:t>危害控制组</w:t>
      </w:r>
    </w:p>
    <w:p w14:paraId="56522B79">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由区市场监管局牵头，区卫健委、区公安分局等部门组成。负责组织对涉事</w:t>
      </w:r>
      <w:r>
        <w:rPr>
          <w:rFonts w:hint="eastAsia" w:ascii="仿宋_GB2312" w:hAnsi="仿宋_GB2312" w:eastAsia="仿宋_GB2312" w:cs="仿宋_GB2312"/>
          <w:b w:val="0"/>
          <w:bCs w:val="0"/>
          <w:i w:val="0"/>
          <w:iCs w:val="0"/>
          <w:color w:val="auto"/>
          <w:sz w:val="32"/>
          <w:szCs w:val="32"/>
          <w:lang w:val="en" w:eastAsia="zh-CN" w:bidi="ar"/>
        </w:rPr>
        <w:t>产品</w:t>
      </w:r>
      <w:r>
        <w:rPr>
          <w:rFonts w:hint="eastAsia" w:ascii="仿宋_GB2312" w:hAnsi="仿宋_GB2312" w:eastAsia="仿宋_GB2312" w:cs="仿宋_GB2312"/>
          <w:b w:val="0"/>
          <w:bCs w:val="0"/>
          <w:i w:val="0"/>
          <w:iCs w:val="0"/>
          <w:color w:val="auto"/>
          <w:sz w:val="32"/>
          <w:szCs w:val="32"/>
          <w:lang w:val="en-US" w:eastAsia="zh-CN" w:bidi="ar"/>
        </w:rPr>
        <w:t>采取暂停销售、使用（接种）等紧急措施；严格控制流通渠道，采取召回、下架等控制措施；对相关产品及原辅料、包装材料采取查封、扣押等措施，防止危害和影响蔓延扩大。</w:t>
      </w:r>
    </w:p>
    <w:p w14:paraId="42C399C1">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2.3.</w:t>
      </w:r>
      <w:r>
        <w:rPr>
          <w:rFonts w:hint="eastAsia" w:ascii="楷体_GB2312" w:hAnsi="楷体_GB2312" w:eastAsia="楷体_GB2312" w:cs="楷体_GB2312"/>
          <w:b w:val="0"/>
          <w:bCs w:val="0"/>
          <w:i w:val="0"/>
          <w:iCs w:val="0"/>
          <w:color w:val="auto"/>
          <w:sz w:val="32"/>
          <w:szCs w:val="32"/>
          <w:shd w:val="clear" w:color="auto" w:fill="FFFFFF"/>
          <w:lang w:val="en-US" w:eastAsia="zh-CN" w:bidi="ar"/>
        </w:rPr>
        <w:t>4 医疗救治组</w:t>
      </w:r>
    </w:p>
    <w:p w14:paraId="21A3AFB0">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由区卫健委牵头，区医保分局、区市场监管局等部门组成。负责指导协调医疗机构，调配医疗专家，组织筛查和确认可疑病例，提出救治方案，迅速组织开展救治和心理疏导工作。</w:t>
      </w:r>
    </w:p>
    <w:p w14:paraId="28B88BCB">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2.3.</w:t>
      </w:r>
      <w:r>
        <w:rPr>
          <w:rFonts w:hint="eastAsia" w:ascii="楷体_GB2312" w:hAnsi="楷体_GB2312" w:eastAsia="楷体_GB2312" w:cs="楷体_GB2312"/>
          <w:b w:val="0"/>
          <w:bCs w:val="0"/>
          <w:i w:val="0"/>
          <w:iCs w:val="0"/>
          <w:color w:val="auto"/>
          <w:sz w:val="32"/>
          <w:szCs w:val="32"/>
          <w:shd w:val="clear" w:color="auto" w:fill="FFFFFF"/>
          <w:lang w:val="en-US" w:eastAsia="zh-CN" w:bidi="ar"/>
        </w:rPr>
        <w:t>5</w:t>
      </w: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 </w:t>
      </w:r>
      <w:r>
        <w:rPr>
          <w:rFonts w:hint="eastAsia" w:ascii="楷体_GB2312" w:hAnsi="楷体_GB2312" w:eastAsia="楷体_GB2312" w:cs="楷体_GB2312"/>
          <w:b w:val="0"/>
          <w:bCs w:val="0"/>
          <w:i w:val="0"/>
          <w:iCs w:val="0"/>
          <w:color w:val="auto"/>
          <w:sz w:val="32"/>
          <w:szCs w:val="32"/>
          <w:shd w:val="clear" w:color="auto" w:fill="FFFFFF"/>
          <w:lang w:val="en-US" w:eastAsia="zh-CN" w:bidi="ar"/>
        </w:rPr>
        <w:t>社会稳定组</w:t>
      </w:r>
    </w:p>
    <w:p w14:paraId="74085D4C">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由区公安分局牵头，区市场监管局、区信访局等部门组成。负责加强社会治安管理，密切关注事态发展，严厉打击编造传播谣言，制造社会恐慌、趁机作乱等违法犯罪行为，依法处置因药品安全引发的各类群体性事件。</w:t>
      </w:r>
    </w:p>
    <w:p w14:paraId="3D7F306B">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2.3.</w:t>
      </w:r>
      <w:r>
        <w:rPr>
          <w:rFonts w:hint="eastAsia" w:ascii="楷体_GB2312" w:hAnsi="楷体_GB2312" w:eastAsia="楷体_GB2312" w:cs="楷体_GB2312"/>
          <w:b w:val="0"/>
          <w:bCs w:val="0"/>
          <w:i w:val="0"/>
          <w:iCs w:val="0"/>
          <w:color w:val="auto"/>
          <w:sz w:val="32"/>
          <w:szCs w:val="32"/>
          <w:shd w:val="clear" w:color="auto" w:fill="FFFFFF"/>
          <w:lang w:val="en-US" w:eastAsia="zh-CN" w:bidi="ar"/>
        </w:rPr>
        <w:t>6</w:t>
      </w: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 </w:t>
      </w:r>
      <w:r>
        <w:rPr>
          <w:rFonts w:hint="eastAsia" w:ascii="楷体_GB2312" w:hAnsi="楷体_GB2312" w:eastAsia="楷体_GB2312" w:cs="楷体_GB2312"/>
          <w:b w:val="0"/>
          <w:bCs w:val="0"/>
          <w:i w:val="0"/>
          <w:iCs w:val="0"/>
          <w:color w:val="auto"/>
          <w:sz w:val="32"/>
          <w:szCs w:val="32"/>
          <w:shd w:val="clear" w:color="auto" w:fill="FFFFFF"/>
          <w:lang w:val="en-US" w:eastAsia="zh-CN" w:bidi="ar"/>
        </w:rPr>
        <w:t>新闻宣传组</w:t>
      </w:r>
    </w:p>
    <w:p w14:paraId="31D1110F">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由区委宣传部（网信办）牵头，区市场监管局等部门组成。负责突发事件处置的宣传报道和媒体采访管理工作；跟踪省内外舆情，及时、客观通报相关情况，妥善处置事件引发的舆情；经区应急指挥部授权，组织召开新闻发布会，做好信息发布工作。</w:t>
      </w:r>
    </w:p>
    <w:p w14:paraId="1A0DC463">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2.4专家组</w:t>
      </w:r>
    </w:p>
    <w:p w14:paraId="30091BD4">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区市场监管局会同区卫健委组建突发事件应急专家库。突发事件发生后，从专家库中选定药学、医学、公共卫生、法学、社会学、心理学等方面的专家成立专家组，负责事件综合研判，提出预警分级和处置措施等决策建议，参与制定应急处置技术方案，对预警和应急响应的调整、解除及评估提供咨询意见，</w:t>
      </w:r>
      <w:r>
        <w:rPr>
          <w:rFonts w:hint="eastAsia" w:ascii="仿宋_GB2312" w:hAnsi="仿宋_GB2312" w:eastAsia="仿宋_GB2312" w:cs="仿宋_GB2312"/>
          <w:b w:val="0"/>
          <w:bCs w:val="0"/>
          <w:i w:val="0"/>
          <w:iCs w:val="0"/>
          <w:color w:val="auto"/>
          <w:sz w:val="32"/>
          <w:szCs w:val="32"/>
          <w:lang w:val="en" w:eastAsia="zh-CN" w:bidi="ar"/>
        </w:rPr>
        <w:t>对涉事产品进行调查、原因分析，并提出应对措施。</w:t>
      </w:r>
      <w:r>
        <w:rPr>
          <w:rFonts w:hint="eastAsia" w:ascii="仿宋_GB2312" w:hAnsi="仿宋_GB2312" w:eastAsia="仿宋_GB2312" w:cs="仿宋_GB2312"/>
          <w:b w:val="0"/>
          <w:bCs w:val="0"/>
          <w:i w:val="0"/>
          <w:iCs w:val="0"/>
          <w:color w:val="auto"/>
          <w:sz w:val="32"/>
          <w:szCs w:val="32"/>
          <w:lang w:val="en-US" w:eastAsia="zh-CN" w:bidi="ar"/>
        </w:rPr>
        <w:t>必要时直接参加应急处置工作。</w:t>
      </w:r>
    </w:p>
    <w:p w14:paraId="629A660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2.5 专业技术机构</w:t>
      </w:r>
    </w:p>
    <w:p w14:paraId="24785856">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 w:eastAsia="zh-CN" w:bidi="ar"/>
        </w:rPr>
      </w:pPr>
      <w:r>
        <w:rPr>
          <w:rFonts w:hint="eastAsia" w:ascii="仿宋_GB2312" w:hAnsi="仿宋_GB2312" w:eastAsia="仿宋_GB2312" w:cs="仿宋_GB2312"/>
          <w:b w:val="0"/>
          <w:bCs w:val="0"/>
          <w:i w:val="0"/>
          <w:iCs w:val="0"/>
          <w:color w:val="auto"/>
          <w:sz w:val="32"/>
          <w:szCs w:val="32"/>
          <w:lang w:val="en" w:eastAsia="zh-CN" w:bidi="ar"/>
        </w:rPr>
        <w:t>各药品不良反应监测机构、检验检测机构和疾病预防控制机构（含疫苗接种单位）、医疗机构是突发事件应急处置的专业技术机构，依照各自职责配合</w:t>
      </w:r>
      <w:r>
        <w:rPr>
          <w:rFonts w:hint="eastAsia" w:ascii="仿宋_GB2312" w:hAnsi="仿宋_GB2312" w:eastAsia="仿宋_GB2312" w:cs="仿宋_GB2312"/>
          <w:b w:val="0"/>
          <w:bCs w:val="0"/>
          <w:i w:val="0"/>
          <w:iCs w:val="0"/>
          <w:color w:val="auto"/>
          <w:sz w:val="32"/>
          <w:szCs w:val="32"/>
          <w:lang w:val="en-US" w:eastAsia="zh-CN" w:bidi="ar"/>
        </w:rPr>
        <w:t>区市场监管局</w:t>
      </w:r>
      <w:r>
        <w:rPr>
          <w:rFonts w:hint="eastAsia" w:ascii="仿宋_GB2312" w:hAnsi="仿宋_GB2312" w:eastAsia="仿宋_GB2312" w:cs="仿宋_GB2312"/>
          <w:b w:val="0"/>
          <w:bCs w:val="0"/>
          <w:i w:val="0"/>
          <w:iCs w:val="0"/>
          <w:color w:val="auto"/>
          <w:sz w:val="32"/>
          <w:szCs w:val="32"/>
          <w:lang w:val="en" w:eastAsia="zh-CN" w:bidi="ar"/>
        </w:rPr>
        <w:t>、</w:t>
      </w:r>
      <w:r>
        <w:rPr>
          <w:rFonts w:hint="eastAsia" w:ascii="仿宋_GB2312" w:hAnsi="仿宋_GB2312" w:eastAsia="仿宋_GB2312" w:cs="仿宋_GB2312"/>
          <w:b w:val="0"/>
          <w:bCs w:val="0"/>
          <w:i w:val="0"/>
          <w:iCs w:val="0"/>
          <w:color w:val="auto"/>
          <w:sz w:val="32"/>
          <w:szCs w:val="32"/>
          <w:lang w:val="en-US" w:eastAsia="zh-CN" w:bidi="ar"/>
        </w:rPr>
        <w:t>区卫健委</w:t>
      </w:r>
      <w:r>
        <w:rPr>
          <w:rFonts w:hint="eastAsia" w:ascii="仿宋_GB2312" w:hAnsi="仿宋_GB2312" w:eastAsia="仿宋_GB2312" w:cs="仿宋_GB2312"/>
          <w:b w:val="0"/>
          <w:bCs w:val="0"/>
          <w:i w:val="0"/>
          <w:iCs w:val="0"/>
          <w:color w:val="auto"/>
          <w:sz w:val="32"/>
          <w:szCs w:val="32"/>
          <w:lang w:val="en" w:eastAsia="zh-CN" w:bidi="ar"/>
        </w:rPr>
        <w:t>等部门完成突发事件的应急处置工作。</w:t>
      </w:r>
    </w:p>
    <w:p w14:paraId="3F13CEAC">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b w:val="0"/>
          <w:bCs w:val="0"/>
          <w:i w:val="0"/>
          <w:iCs w:val="0"/>
          <w:color w:val="auto"/>
          <w:kern w:val="0"/>
          <w:sz w:val="32"/>
          <w:szCs w:val="32"/>
          <w:lang w:val="e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2.5.1不良反应监测机构：</w:t>
      </w:r>
      <w:r>
        <w:rPr>
          <w:rFonts w:hint="eastAsia" w:ascii="仿宋_GB2312" w:hAnsi="仿宋_GB2312" w:eastAsia="仿宋_GB2312" w:cs="仿宋_GB2312"/>
          <w:b w:val="0"/>
          <w:bCs w:val="0"/>
          <w:i w:val="0"/>
          <w:iCs w:val="0"/>
          <w:color w:val="auto"/>
          <w:sz w:val="32"/>
          <w:szCs w:val="32"/>
          <w:lang w:val="en" w:eastAsia="zh-CN" w:bidi="ar"/>
        </w:rPr>
        <w:t>负责对药品、疫苗、化妆品不良反应和医疗器械不良事件监测（以下简称“不良反应（事件）监测”），收集、汇总、分析、评价和上报监测信息，提出预警建议。</w:t>
      </w:r>
    </w:p>
    <w:p w14:paraId="4F211766">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b w:val="0"/>
          <w:bCs w:val="0"/>
          <w:i w:val="0"/>
          <w:iCs w:val="0"/>
          <w:color w:val="auto"/>
          <w:kern w:val="0"/>
          <w:sz w:val="32"/>
          <w:szCs w:val="32"/>
          <w:lang w:val="e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2.5.2检验检测机构：</w:t>
      </w:r>
      <w:r>
        <w:rPr>
          <w:rFonts w:hint="eastAsia" w:ascii="仿宋_GB2312" w:hAnsi="仿宋_GB2312" w:eastAsia="仿宋_GB2312" w:cs="仿宋_GB2312"/>
          <w:b w:val="0"/>
          <w:bCs w:val="0"/>
          <w:i w:val="0"/>
          <w:iCs w:val="0"/>
          <w:color w:val="auto"/>
          <w:sz w:val="32"/>
          <w:szCs w:val="32"/>
          <w:lang w:val="en" w:eastAsia="zh-CN" w:bidi="ar"/>
        </w:rPr>
        <w:t>依据职责和能力负责完善应急检验检测程序，组织对涉事产品及其原辅料、包装材料质量进行检验检测和分析定性，及时出具检验结果和质量结论报告，协助调查事件发生原因，提出控制风险的相关建议。</w:t>
      </w:r>
    </w:p>
    <w:p w14:paraId="657F0FAD">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b w:val="0"/>
          <w:bCs w:val="0"/>
          <w:i w:val="0"/>
          <w:iCs w:val="0"/>
          <w:color w:val="auto"/>
          <w:kern w:val="0"/>
          <w:sz w:val="32"/>
          <w:szCs w:val="32"/>
          <w:lang w:val="e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2.5.</w:t>
      </w:r>
      <w:r>
        <w:rPr>
          <w:rFonts w:hint="eastAsia" w:ascii="楷体_GB2312" w:hAnsi="楷体_GB2312" w:eastAsia="楷体_GB2312" w:cs="楷体_GB2312"/>
          <w:b w:val="0"/>
          <w:bCs w:val="0"/>
          <w:i w:val="0"/>
          <w:iCs w:val="0"/>
          <w:color w:val="auto"/>
          <w:sz w:val="32"/>
          <w:szCs w:val="32"/>
          <w:shd w:val="clear" w:color="auto" w:fill="FFFFFF"/>
          <w:lang w:val="en-US" w:eastAsia="zh-CN" w:bidi="ar"/>
        </w:rPr>
        <w:t>3</w:t>
      </w:r>
      <w:r>
        <w:rPr>
          <w:rFonts w:hint="eastAsia" w:ascii="楷体_GB2312" w:hAnsi="楷体_GB2312" w:eastAsia="楷体_GB2312" w:cs="楷体_GB2312"/>
          <w:b w:val="0"/>
          <w:bCs w:val="0"/>
          <w:i w:val="0"/>
          <w:iCs w:val="0"/>
          <w:color w:val="auto"/>
          <w:sz w:val="32"/>
          <w:szCs w:val="32"/>
          <w:shd w:val="clear" w:color="auto" w:fill="FFFFFF"/>
          <w:lang w:val="en" w:eastAsia="zh-CN" w:bidi="ar"/>
        </w:rPr>
        <w:t>疾病预防控制机构（含疫苗接种单位）：</w:t>
      </w:r>
      <w:r>
        <w:rPr>
          <w:rFonts w:hint="eastAsia" w:ascii="仿宋_GB2312" w:hAnsi="仿宋_GB2312" w:eastAsia="仿宋_GB2312" w:cs="仿宋_GB2312"/>
          <w:b w:val="0"/>
          <w:bCs w:val="0"/>
          <w:i w:val="0"/>
          <w:iCs w:val="0"/>
          <w:color w:val="auto"/>
          <w:sz w:val="32"/>
          <w:szCs w:val="32"/>
          <w:lang w:val="en" w:eastAsia="zh-CN" w:bidi="ar"/>
        </w:rPr>
        <w:t>负责对涉及疫苗疑似预防接种异常反应事件的相关信息的收集、核实和分析，开展流行病学调查；配合控制涉事产品，分析发生原因，协助评估事件危害程度。</w:t>
      </w:r>
    </w:p>
    <w:p w14:paraId="4FB6348F">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b w:val="0"/>
          <w:bCs w:val="0"/>
          <w:i w:val="0"/>
          <w:iCs w:val="0"/>
          <w:color w:val="auto"/>
          <w:kern w:val="0"/>
          <w:sz w:val="32"/>
          <w:szCs w:val="32"/>
          <w:lang w:val="e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2.5.</w:t>
      </w:r>
      <w:r>
        <w:rPr>
          <w:rFonts w:hint="eastAsia" w:ascii="楷体_GB2312" w:hAnsi="楷体_GB2312" w:eastAsia="楷体_GB2312" w:cs="楷体_GB2312"/>
          <w:b w:val="0"/>
          <w:bCs w:val="0"/>
          <w:i w:val="0"/>
          <w:iCs w:val="0"/>
          <w:color w:val="auto"/>
          <w:sz w:val="32"/>
          <w:szCs w:val="32"/>
          <w:shd w:val="clear" w:color="auto" w:fill="FFFFFF"/>
          <w:lang w:val="en-US" w:eastAsia="zh-CN" w:bidi="ar"/>
        </w:rPr>
        <w:t>4</w:t>
      </w:r>
      <w:r>
        <w:rPr>
          <w:rFonts w:hint="eastAsia" w:ascii="楷体_GB2312" w:hAnsi="楷体_GB2312" w:eastAsia="楷体_GB2312" w:cs="楷体_GB2312"/>
          <w:b w:val="0"/>
          <w:bCs w:val="0"/>
          <w:i w:val="0"/>
          <w:iCs w:val="0"/>
          <w:color w:val="auto"/>
          <w:sz w:val="32"/>
          <w:szCs w:val="32"/>
          <w:shd w:val="clear" w:color="auto" w:fill="FFFFFF"/>
          <w:lang w:val="en" w:eastAsia="zh-CN" w:bidi="ar"/>
        </w:rPr>
        <w:t>医疗机构：</w:t>
      </w:r>
      <w:r>
        <w:rPr>
          <w:rFonts w:hint="eastAsia" w:ascii="仿宋_GB2312" w:hAnsi="仿宋_GB2312" w:eastAsia="仿宋_GB2312" w:cs="仿宋_GB2312"/>
          <w:b w:val="0"/>
          <w:bCs w:val="0"/>
          <w:i w:val="0"/>
          <w:iCs w:val="0"/>
          <w:color w:val="auto"/>
          <w:sz w:val="32"/>
          <w:szCs w:val="32"/>
          <w:lang w:val="en" w:eastAsia="zh-CN" w:bidi="ar"/>
        </w:rPr>
        <w:t>负责患者的现场抢救、运送、诊断、治疗等救治工作；承担本单位不良反应（事件）监测和报告工作，配合开展临床调查和控制涉事产品；协助分析发生原因，评估事件危害程度；必要时可采取暂停使用（接种）涉事产品的紧急措施。</w:t>
      </w:r>
    </w:p>
    <w:p w14:paraId="3BE4814B">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SA"/>
        </w:rPr>
      </w:pPr>
      <w:r>
        <w:rPr>
          <w:rFonts w:hint="eastAsia" w:ascii="黑体" w:hAnsi="黑体" w:eastAsia="黑体" w:cs="黑体"/>
          <w:b w:val="0"/>
          <w:bCs w:val="0"/>
          <w:i w:val="0"/>
          <w:iCs w:val="0"/>
          <w:color w:val="auto"/>
          <w:sz w:val="32"/>
          <w:szCs w:val="32"/>
          <w:shd w:val="clear" w:color="auto" w:fill="FFFFFF"/>
          <w:lang w:val="en" w:eastAsia="zh-CN" w:bidi="ar-SA"/>
        </w:rPr>
        <w:t>3 监测、预警</w:t>
      </w:r>
    </w:p>
    <w:p w14:paraId="4118BA47">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eastAsia="zh-CN" w:bidi="ar"/>
        </w:rPr>
      </w:pPr>
      <w:r>
        <w:rPr>
          <w:rFonts w:hint="eastAsia" w:ascii="仿宋_GB2312" w:hAnsi="仿宋_GB2312" w:eastAsia="仿宋_GB2312" w:cs="仿宋_GB2312"/>
          <w:b w:val="0"/>
          <w:bCs w:val="0"/>
          <w:i w:val="0"/>
          <w:iCs w:val="0"/>
          <w:color w:val="auto"/>
          <w:sz w:val="32"/>
          <w:szCs w:val="32"/>
          <w:lang w:val="en-US" w:eastAsia="zh-CN" w:bidi="ar"/>
        </w:rPr>
        <w:t>区人民政府及其有关部门要建立健全突发事件监测预警制度</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。区市场监管局</w:t>
      </w:r>
      <w:r>
        <w:rPr>
          <w:rFonts w:hint="eastAsia" w:ascii="仿宋_GB2312" w:hAnsi="仿宋_GB2312" w:eastAsia="仿宋_GB2312" w:cs="仿宋_GB2312"/>
          <w:b w:val="0"/>
          <w:bCs w:val="0"/>
          <w:i w:val="0"/>
          <w:iCs w:val="0"/>
          <w:color w:val="auto"/>
          <w:sz w:val="32"/>
          <w:szCs w:val="32"/>
          <w:shd w:val="clear" w:color="auto" w:fill="FFFFFF"/>
          <w:lang w:val="en" w:eastAsia="zh-CN" w:bidi="ar-SA"/>
        </w:rPr>
        <w:t>依职责开展药品</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质量风险分析和评估，做到</w:t>
      </w:r>
      <w:r>
        <w:rPr>
          <w:rFonts w:hint="eastAsia" w:ascii="仿宋_GB2312" w:hAnsi="仿宋_GB2312" w:eastAsia="仿宋_GB2312" w:cs="仿宋_GB2312"/>
          <w:b w:val="0"/>
          <w:bCs w:val="0"/>
          <w:i w:val="0"/>
          <w:iCs w:val="0"/>
          <w:color w:val="auto"/>
          <w:sz w:val="32"/>
          <w:szCs w:val="32"/>
          <w:lang w:val="en-US" w:eastAsia="zh-CN" w:bidi="ar"/>
        </w:rPr>
        <w:t>早发现、早预警、早报告、早处置。</w:t>
      </w:r>
    </w:p>
    <w:p w14:paraId="0E532169">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3.1 监测</w:t>
      </w:r>
    </w:p>
    <w:p w14:paraId="37026D36">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依托区市场监管局</w:t>
      </w:r>
      <w:r>
        <w:rPr>
          <w:rFonts w:hint="eastAsia" w:ascii="仿宋_GB2312" w:hAnsi="仿宋_GB2312" w:eastAsia="仿宋_GB2312" w:cs="仿宋_GB2312"/>
          <w:b w:val="0"/>
          <w:bCs w:val="0"/>
          <w:i w:val="0"/>
          <w:iCs w:val="0"/>
          <w:color w:val="auto"/>
          <w:sz w:val="32"/>
          <w:szCs w:val="32"/>
          <w:shd w:val="clear" w:color="auto" w:fill="FFFFFF"/>
          <w:lang w:val="en" w:eastAsia="zh-CN" w:bidi="ar-SA"/>
        </w:rPr>
        <w:t>、</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区卫健委</w:t>
      </w:r>
      <w:r>
        <w:rPr>
          <w:rFonts w:hint="eastAsia" w:ascii="仿宋_GB2312" w:hAnsi="仿宋_GB2312" w:eastAsia="仿宋_GB2312" w:cs="仿宋_GB2312"/>
          <w:b w:val="0"/>
          <w:bCs w:val="0"/>
          <w:i w:val="0"/>
          <w:iCs w:val="0"/>
          <w:color w:val="auto"/>
          <w:sz w:val="32"/>
          <w:szCs w:val="32"/>
          <w:shd w:val="clear" w:color="auto" w:fill="FFFFFF"/>
          <w:lang w:val="en" w:eastAsia="zh-CN" w:bidi="ar-SA"/>
        </w:rPr>
        <w:t>及其专业技术机构按照职责分工开展产品质量检验、不良反应（事件）监测、预防接种异常反应监测、药物滥用监测等工作</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，及时掌握突发</w:t>
      </w:r>
      <w:r>
        <w:rPr>
          <w:rFonts w:hint="eastAsia" w:ascii="仿宋_GB2312" w:hAnsi="仿宋_GB2312" w:eastAsia="仿宋_GB2312" w:cs="仿宋_GB2312"/>
          <w:b w:val="0"/>
          <w:bCs w:val="0"/>
          <w:i w:val="0"/>
          <w:iCs w:val="0"/>
          <w:color w:val="auto"/>
          <w:sz w:val="32"/>
          <w:szCs w:val="32"/>
          <w:shd w:val="clear" w:color="auto" w:fill="FFFFFF"/>
          <w:lang w:val="en" w:eastAsia="zh-CN" w:bidi="ar-SA"/>
        </w:rPr>
        <w:t>事件</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风险隐患信息；对监督抽检、执法检查、医疗行为中发现的安全风险隐患以及广播、电视、报刊、微信、微博、论坛等媒体上相关热点敏感信息进行跟踪、收集、分析和研判，并按规定及时报告。</w:t>
      </w:r>
    </w:p>
    <w:p w14:paraId="4EE32BBC">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3.2 预警</w:t>
      </w:r>
    </w:p>
    <w:p w14:paraId="412A17AA">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根据监测信息和专家组的建议，对本行政区域内突发事件的相关危险因素进行分析，对可能危害公众健康的风险因素、风险级别、影响范围、紧急程度和可能存在的危害提出分析评估意见，及时采取预警措施并按规定程序和权限适时向社会发布突发事件警示信息，向有关单位进行预警提示。</w:t>
      </w:r>
    </w:p>
    <w:p w14:paraId="3DD98868">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3.2.1 预警分级</w:t>
      </w:r>
    </w:p>
    <w:p w14:paraId="53EEE19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按照突发事件</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紧急程度、发展态势和可能造成的危害程度</w:t>
      </w:r>
      <w:r>
        <w:rPr>
          <w:rFonts w:hint="eastAsia" w:ascii="仿宋_GB2312" w:hAnsi="仿宋_GB2312" w:eastAsia="仿宋_GB2312" w:cs="仿宋_GB2312"/>
          <w:b w:val="0"/>
          <w:bCs w:val="0"/>
          <w:i w:val="0"/>
          <w:iCs w:val="0"/>
          <w:color w:val="auto"/>
          <w:sz w:val="32"/>
          <w:szCs w:val="32"/>
          <w:shd w:val="clear" w:color="auto" w:fill="FFFFFF"/>
          <w:lang w:val="en" w:eastAsia="zh-CN" w:bidi="ar-SA"/>
        </w:rPr>
        <w:t>，预警</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从高到低分为一级、二级、三级、四级，依次用红色、橙色、黄色和蓝色标识，红色为最高级别。</w:t>
      </w:r>
    </w:p>
    <w:p w14:paraId="34C87C9E">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3.2.2 预警信息发布</w:t>
      </w:r>
    </w:p>
    <w:p w14:paraId="2EE994AF">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疫苗安全风险警示信息，由国务院药品监管部门会同有关部门发布；药品安全风险警示信息由国务院药品监管部门统一发布，其影响限于特定区域的，由省人民政府药品监管部门发布；医疗器械和化妆品安全警示信息，由负责药品监管部门按有关规定权限，立即向社会发布相应级别的安全警示信息。</w:t>
      </w:r>
    </w:p>
    <w:p w14:paraId="582E9A04">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3.2.3 预警内容</w:t>
      </w:r>
    </w:p>
    <w:p w14:paraId="0C2E5DC4">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预警信息的内容主要包括事件类别、预警级别、起始时间、可能影响范围、警示事项、应采取的措施、发布机关、发布时间和咨询电话等。</w:t>
      </w:r>
    </w:p>
    <w:p w14:paraId="3EEFF9FE">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3.2.4 预警行动</w:t>
      </w:r>
    </w:p>
    <w:p w14:paraId="1F62318B">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预警信息发布后，事发地有关部门应迅速进入应急状态，密切关注事态发展，加强预警信息相互通报，做好启动应急响应准备，视情采取相应措施。</w:t>
      </w:r>
    </w:p>
    <w:p w14:paraId="25DA3B08">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①分析研判。组织有关部门和专业技术机构对突发事件信息进行收集、核查、汇总和分析研判，及时跟踪监测并按本预案规定做好启动应急响应准备。</w:t>
      </w:r>
    </w:p>
    <w:p w14:paraId="19BEB99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②防范措施。迅速采取有效防范措施，防止事态进一步蔓延扩大，加强对涉事产品安全及可能存在的危害进行科普宣传，告知群众停止使用相关产品。</w:t>
      </w:r>
    </w:p>
    <w:p w14:paraId="7CEFADED">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③应急准备。做好应急保障准备工作，加强对事发地应急处置工作指导，必要时派出工作组现场指导。</w:t>
      </w:r>
    </w:p>
    <w:p w14:paraId="3D1D209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④舆情引导。准确发布事态进展情况信息，组织专家对可能产生的危害进行分析、说明，加强舆情跟踪监测，主动回应社会关切，及时澄清谣言传言。</w:t>
      </w:r>
    </w:p>
    <w:p w14:paraId="04E38404">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⑤信息互通。向相关成员单位及时通报预警信息。</w:t>
      </w:r>
    </w:p>
    <w:p w14:paraId="5763B5BD">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3.2.5 预警调整和解除</w:t>
      </w:r>
    </w:p>
    <w:p w14:paraId="2647875B">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根据突发事件</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的发展态势、处置情况和评估结果，发布警示信息的人民政府或有关部门应按规定权限和程序，及时提升或降低预警级别并重新发布。</w:t>
      </w:r>
    </w:p>
    <w:p w14:paraId="7AF3BCB1">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当突发事件风险已经消除，发布警示信息的人民政府或有关部门应当及时解除预警，终止预警期。</w:t>
      </w:r>
    </w:p>
    <w:p w14:paraId="379BCAC8">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SA"/>
        </w:rPr>
      </w:pPr>
      <w:r>
        <w:rPr>
          <w:rFonts w:hint="eastAsia" w:ascii="黑体" w:hAnsi="黑体" w:eastAsia="黑体" w:cs="黑体"/>
          <w:b w:val="0"/>
          <w:bCs w:val="0"/>
          <w:i w:val="0"/>
          <w:iCs w:val="0"/>
          <w:color w:val="auto"/>
          <w:sz w:val="32"/>
          <w:szCs w:val="32"/>
          <w:shd w:val="clear" w:color="auto" w:fill="FFFFFF"/>
          <w:lang w:val="en" w:eastAsia="zh-CN" w:bidi="ar-SA"/>
        </w:rPr>
        <w:t>4 处置措施</w:t>
      </w:r>
    </w:p>
    <w:p w14:paraId="4930E653">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4.1信息报告</w:t>
      </w:r>
    </w:p>
    <w:p w14:paraId="4F6ADE0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各级人民政府和有关部门要依据快报事实、慎报原因、实事求是、依法处置的原则，建立完善信息报告制度。</w:t>
      </w:r>
    </w:p>
    <w:p w14:paraId="299F4708">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4.1.</w:t>
      </w:r>
      <w:r>
        <w:rPr>
          <w:rFonts w:hint="eastAsia" w:ascii="楷体_GB2312" w:hAnsi="楷体_GB2312" w:eastAsia="楷体_GB2312" w:cs="楷体_GB2312"/>
          <w:b w:val="0"/>
          <w:bCs w:val="0"/>
          <w:i w:val="0"/>
          <w:iCs w:val="0"/>
          <w:color w:val="auto"/>
          <w:sz w:val="32"/>
          <w:szCs w:val="32"/>
          <w:shd w:val="clear" w:color="auto" w:fill="FFFFFF"/>
          <w:lang w:val="en-US" w:eastAsia="zh-CN" w:bidi="ar"/>
        </w:rPr>
        <w:t>1</w:t>
      </w:r>
      <w:r>
        <w:rPr>
          <w:rFonts w:hint="eastAsia" w:ascii="楷体_GB2312" w:hAnsi="楷体_GB2312" w:eastAsia="楷体_GB2312" w:cs="楷体_GB2312"/>
          <w:b w:val="0"/>
          <w:bCs w:val="0"/>
          <w:i w:val="0"/>
          <w:iCs w:val="0"/>
          <w:color w:val="auto"/>
          <w:sz w:val="32"/>
          <w:szCs w:val="32"/>
          <w:shd w:val="clear" w:color="auto" w:fill="FFFFFF"/>
          <w:lang w:val="en" w:eastAsia="zh-CN" w:bidi="ar"/>
        </w:rPr>
        <w:t xml:space="preserve"> </w:t>
      </w:r>
      <w:r>
        <w:rPr>
          <w:rFonts w:hint="eastAsia" w:ascii="楷体_GB2312" w:hAnsi="楷体_GB2312" w:eastAsia="楷体_GB2312" w:cs="楷体_GB2312"/>
          <w:b w:val="0"/>
          <w:bCs w:val="0"/>
          <w:i w:val="0"/>
          <w:iCs w:val="0"/>
          <w:color w:val="auto"/>
          <w:sz w:val="32"/>
          <w:szCs w:val="32"/>
          <w:shd w:val="clear" w:color="auto" w:fill="FFFFFF"/>
          <w:lang w:val="en-US" w:eastAsia="zh-CN" w:bidi="ar"/>
        </w:rPr>
        <w:t>报告主体</w:t>
      </w:r>
    </w:p>
    <w:p w14:paraId="2DD5C50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①区市场监管局</w:t>
      </w:r>
      <w:r>
        <w:rPr>
          <w:rFonts w:hint="eastAsia" w:ascii="仿宋_GB2312" w:hAnsi="仿宋_GB2312" w:eastAsia="仿宋_GB2312" w:cs="仿宋_GB2312"/>
          <w:b w:val="0"/>
          <w:bCs w:val="0"/>
          <w:i w:val="0"/>
          <w:iCs w:val="0"/>
          <w:color w:val="auto"/>
          <w:sz w:val="32"/>
          <w:szCs w:val="32"/>
          <w:shd w:val="clear" w:color="auto" w:fill="FFFFFF"/>
          <w:lang w:val="en" w:eastAsia="zh-CN" w:bidi="ar-SA"/>
        </w:rPr>
        <w:t>、</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区卫健委和事发地医疗机构；</w:t>
      </w:r>
    </w:p>
    <w:p w14:paraId="2717F8FB">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②各检</w:t>
      </w:r>
      <w:r>
        <w:rPr>
          <w:rFonts w:hint="eastAsia" w:ascii="仿宋_GB2312" w:hAnsi="仿宋_GB2312" w:eastAsia="仿宋_GB2312" w:cs="仿宋_GB2312"/>
          <w:b w:val="0"/>
          <w:bCs w:val="0"/>
          <w:i w:val="0"/>
          <w:iCs w:val="0"/>
          <w:color w:val="auto"/>
          <w:sz w:val="32"/>
          <w:szCs w:val="32"/>
          <w:shd w:val="clear" w:color="auto" w:fill="FFFFFF"/>
          <w:lang w:val="en" w:eastAsia="zh-CN" w:bidi="ar-SA"/>
        </w:rPr>
        <w:t>验检测、不良反应（事件）监测和疾病预防控制（含疫苗接种单位）等专业技术机构</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w:t>
      </w:r>
    </w:p>
    <w:p w14:paraId="77485EC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③药品、</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疫苗、医疗器械、化妆品经营和使用单位；</w:t>
      </w:r>
    </w:p>
    <w:p w14:paraId="536D5139">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④其他单位、个人应当向区人民政府和有关部门报告突发</w:t>
      </w:r>
      <w:r>
        <w:rPr>
          <w:rFonts w:hint="eastAsia" w:ascii="仿宋_GB2312" w:hAnsi="仿宋_GB2312" w:eastAsia="仿宋_GB2312" w:cs="仿宋_GB2312"/>
          <w:b w:val="0"/>
          <w:bCs w:val="0"/>
          <w:i w:val="0"/>
          <w:iCs w:val="0"/>
          <w:color w:val="auto"/>
          <w:sz w:val="32"/>
          <w:szCs w:val="32"/>
          <w:shd w:val="clear" w:color="auto" w:fill="FFFFFF"/>
          <w:lang w:val="en" w:eastAsia="zh-CN" w:bidi="ar-SA"/>
        </w:rPr>
        <w:t>事件及其隐患相关</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信息。</w:t>
      </w:r>
    </w:p>
    <w:p w14:paraId="2D85F5DF">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4.1.2 报告程序</w:t>
      </w:r>
    </w:p>
    <w:p w14:paraId="36EC43EE">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各级人民政府和有关部门</w:t>
      </w:r>
      <w:r>
        <w:rPr>
          <w:rFonts w:hint="eastAsia" w:ascii="仿宋_GB2312" w:hAnsi="仿宋_GB2312" w:eastAsia="仿宋_GB2312" w:cs="仿宋_GB2312"/>
          <w:b w:val="0"/>
          <w:bCs w:val="0"/>
          <w:i w:val="0"/>
          <w:iCs w:val="0"/>
          <w:color w:val="auto"/>
          <w:sz w:val="32"/>
          <w:szCs w:val="32"/>
          <w:shd w:val="clear" w:color="auto" w:fill="FFFFFF"/>
          <w:lang w:val="en" w:eastAsia="zh-CN" w:bidi="ar-SA"/>
        </w:rPr>
        <w:t>获知突发事件信息后，要按照相关规定，如实向上级人民政府和上级主管部门报告。按照由下至上逐级报告，遇有紧急情况可越级报告。</w:t>
      </w:r>
    </w:p>
    <w:p w14:paraId="7AA90D10">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4.1.3 报告内容及时限</w:t>
      </w:r>
    </w:p>
    <w:p w14:paraId="22866DEB">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突发事件</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发生后，区市场监管局要尽快掌握情况，根据事件发生、发展、控制过程，按照“初报事件要素、续报事件详情、终报事件结果”的原则，分步骤、分重点报告相关信息。</w:t>
      </w:r>
    </w:p>
    <w:p w14:paraId="7A785F76">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①初报。初报主要内容包括：信息来源、发生时间、地点、事件名称、性质，简要经过、当前状况、主要症状与体征、伤亡人数，已经采取的措施、发展趋势和潜在危害程度，所涉及产品的生产经营单位、名称、规格、包装、批号、数量和生产日期等信息，下一步工作计划和建议、需要帮助解决的问题，报告单位、联络员及通讯方式等其他信息。</w:t>
      </w:r>
      <w:r>
        <w:rPr>
          <w:rFonts w:hint="eastAsia" w:ascii="仿宋_GB2312" w:hAnsi="仿宋_GB2312" w:eastAsia="仿宋_GB2312" w:cs="仿宋_GB2312"/>
          <w:b w:val="0"/>
          <w:bCs w:val="0"/>
          <w:i w:val="0"/>
          <w:iCs w:val="0"/>
          <w:color w:val="auto"/>
          <w:sz w:val="32"/>
          <w:szCs w:val="32"/>
          <w:shd w:val="clear" w:color="auto" w:fill="FFFFFF"/>
          <w:lang w:val="en" w:eastAsia="zh-CN" w:bidi="ar-SA"/>
        </w:rPr>
        <w:t>特别重大、重大突发事件，应在获知相关信息20分钟内电话报告，45分钟内书面报告；较大突发事件，应在获知相关信息后1小时内书面上报，最迟不得晚于2小时上报；其他突发事件可能涉及药品安全的，应在获知相关信息后24小时内书面上报。对于突发事件本身比较敏感或发生在重点地区、重要时期，或可能演化为特别重大、重大突发事件的，不受分级标准限制，一律第一时间报告。</w:t>
      </w:r>
    </w:p>
    <w:p w14:paraId="4A5B7645">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②续报。续报主要内容包括：突发事件调查情况和原因分析结果、涉事产品控制情况、影响评估、舆情研判、采取的应急措施和后续工作计划，并对前次报告的内容进行补充修正等。续报可根据事件进展多次进行，直到调查处理结束。特别重大、重大突发事件每天至少上报1次信息，其他级别突发事件在处置过程中，取得重大进展或可确定关键性信息的，应在</w:t>
      </w:r>
      <w:r>
        <w:rPr>
          <w:rFonts w:hint="eastAsia" w:ascii="仿宋_GB2312" w:hAnsi="仿宋_GB2312" w:eastAsia="仿宋_GB2312" w:cs="仿宋_GB2312"/>
          <w:b w:val="0"/>
          <w:bCs w:val="0"/>
          <w:i w:val="0"/>
          <w:iCs w:val="0"/>
          <w:color w:val="auto"/>
          <w:sz w:val="32"/>
          <w:szCs w:val="32"/>
          <w:shd w:val="clear" w:color="auto" w:fill="FFFFFF"/>
          <w:lang w:val="en" w:eastAsia="zh-CN" w:bidi="ar-SA"/>
        </w:rPr>
        <w:t>12</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小时内上报进展情况。</w:t>
      </w:r>
    </w:p>
    <w:p w14:paraId="02A2A35B">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③终报。终报主要内容包括：事件概况、调查处理过程、事件性质、影响因素、责任认定、追溯或处理结果、整改措施、监管措施完善建议等，对突发事件应急处置过程中的经验和存在问题进行总结评估，并提出今后防范类似事件发生的措施和建议。终报应在事件处置结束后</w:t>
      </w:r>
      <w:r>
        <w:rPr>
          <w:rFonts w:hint="eastAsia" w:ascii="仿宋_GB2312" w:hAnsi="仿宋_GB2312" w:eastAsia="仿宋_GB2312" w:cs="仿宋_GB2312"/>
          <w:b w:val="0"/>
          <w:bCs w:val="0"/>
          <w:i w:val="0"/>
          <w:iCs w:val="0"/>
          <w:color w:val="auto"/>
          <w:sz w:val="32"/>
          <w:szCs w:val="32"/>
          <w:shd w:val="clear" w:color="auto" w:fill="FFFFFF"/>
          <w:lang w:val="en" w:eastAsia="zh-CN" w:bidi="ar-SA"/>
        </w:rPr>
        <w:t>5</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个工作日内报送。</w:t>
      </w:r>
    </w:p>
    <w:p w14:paraId="5AF4E877">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4.1.4 报告形式及要求</w:t>
      </w:r>
    </w:p>
    <w:p w14:paraId="16793536">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一般采取书面形式报告，紧急情况下可先通过网络、电话上报，后续及时报送相关书面材料；终报经报送单位主要负责同志签发后，以单位正式文件形式上报；报告应确保信息核实无误、文字简洁准确，涉密信息的报告按保密有关规定办理。</w:t>
      </w:r>
    </w:p>
    <w:p w14:paraId="19CEB15F">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4.2 先期处置</w:t>
      </w:r>
    </w:p>
    <w:p w14:paraId="5EE74E97">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突发事件</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发生</w:t>
      </w:r>
      <w:r>
        <w:rPr>
          <w:rFonts w:hint="eastAsia" w:ascii="仿宋_GB2312" w:hAnsi="仿宋_GB2312" w:eastAsia="仿宋_GB2312" w:cs="仿宋_GB2312"/>
          <w:b w:val="0"/>
          <w:bCs w:val="0"/>
          <w:i w:val="0"/>
          <w:iCs w:val="0"/>
          <w:color w:val="auto"/>
          <w:sz w:val="32"/>
          <w:szCs w:val="32"/>
          <w:shd w:val="clear" w:color="auto" w:fill="FFFFFF"/>
          <w:lang w:val="en" w:eastAsia="zh-CN" w:bidi="ar-SA"/>
        </w:rPr>
        <w:t>时，事发单位是先期处置的第一责任人，应立即启动处置方案，组织本单位应急队伍和工作人员救助患者；调查、控制可能的危险源，暂停经营、使用（接种）质量可疑产品，采取集中放置并标识等必要措施防止危害扩大；同时，向</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区</w:t>
      </w:r>
      <w:r>
        <w:rPr>
          <w:rFonts w:hint="eastAsia" w:ascii="仿宋_GB2312" w:hAnsi="仿宋_GB2312" w:eastAsia="仿宋_GB2312" w:cs="仿宋_GB2312"/>
          <w:b w:val="0"/>
          <w:bCs w:val="0"/>
          <w:i w:val="0"/>
          <w:iCs w:val="0"/>
          <w:color w:val="auto"/>
          <w:sz w:val="32"/>
          <w:szCs w:val="32"/>
          <w:shd w:val="clear" w:color="auto" w:fill="FFFFFF"/>
          <w:lang w:val="en" w:eastAsia="zh-CN" w:bidi="ar-SA"/>
        </w:rPr>
        <w:t>人民政府及有关部门报告。</w:t>
      </w:r>
    </w:p>
    <w:p w14:paraId="011CA4B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事发地镇街（含鸠江经济开发区，下同）以及市场监管、卫生健康和公安等部门应当立即赶赴现场，组织开展先期处置，迅速控制事态，上报相关信息。事发地镇街及有关部门保护事发现场，积极配合卫生健康主管部门组织救治患者，并向上级人民政府和上级主管部门报告；市场监管部门依法采取必要紧急控制措施，收集、汇总事件信息，根据现场实际或征询有关部门、专家意见进行研判，初步判定事件性质、等级</w:t>
      </w:r>
      <w:r>
        <w:rPr>
          <w:rFonts w:hint="eastAsia" w:ascii="仿宋_GB2312" w:hAnsi="仿宋_GB2312" w:eastAsia="仿宋_GB2312" w:cs="仿宋_GB2312"/>
          <w:b w:val="0"/>
          <w:bCs w:val="0"/>
          <w:i w:val="0"/>
          <w:iCs w:val="0"/>
          <w:color w:val="auto"/>
          <w:sz w:val="32"/>
          <w:szCs w:val="32"/>
          <w:shd w:val="clear" w:color="auto" w:fill="FFFFFF"/>
          <w:lang w:val="en" w:eastAsia="zh-CN" w:bidi="ar-SA"/>
        </w:rPr>
        <w:t>，按对应权限报请启动应急响应；</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卫生健康主管部门</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组织医疗机构实施救治，暂停可疑产品使用（接种），并对使用（接种）情况进行调查；公安部门加强事发现场及周边区域的治安管理，对突发事件中涉嫌违法犯罪的，依法开展</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侦办工作；宣传部门做好舆情引导和应对处置工作。</w:t>
      </w:r>
    </w:p>
    <w:p w14:paraId="638DC3EB">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4.3 启动应急响应</w:t>
      </w:r>
    </w:p>
    <w:p w14:paraId="1250EBC3">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US" w:eastAsia="zh-CN" w:bidi="ar"/>
        </w:rPr>
      </w:pPr>
      <w:r>
        <w:rPr>
          <w:rFonts w:hint="eastAsia" w:ascii="楷体_GB2312" w:hAnsi="楷体_GB2312" w:eastAsia="楷体_GB2312" w:cs="楷体_GB2312"/>
          <w:b w:val="0"/>
          <w:bCs w:val="0"/>
          <w:i w:val="0"/>
          <w:iCs w:val="0"/>
          <w:color w:val="auto"/>
          <w:sz w:val="32"/>
          <w:szCs w:val="32"/>
          <w:shd w:val="clear" w:color="auto" w:fill="FFFFFF"/>
          <w:lang w:val="en" w:eastAsia="zh-CN" w:bidi="ar"/>
        </w:rPr>
        <w:t>4.3.1 响应分级</w:t>
      </w:r>
    </w:p>
    <w:p w14:paraId="2392F50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按照统一领导、分级负责的原则，根据突发事件特别重大、重大、较大、一般的分级，应急响应相应分为Ⅰ级、Ⅱ级、Ⅲ级、Ⅳ级。</w:t>
      </w:r>
    </w:p>
    <w:p w14:paraId="537E4B20">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
        </w:rPr>
      </w:pPr>
      <w:bookmarkStart w:id="3" w:name="_Toc82092298"/>
      <w:r>
        <w:rPr>
          <w:rFonts w:hint="eastAsia" w:ascii="楷体_GB2312" w:hAnsi="楷体_GB2312" w:eastAsia="楷体_GB2312" w:cs="楷体_GB2312"/>
          <w:b w:val="0"/>
          <w:bCs w:val="0"/>
          <w:i w:val="0"/>
          <w:iCs w:val="0"/>
          <w:color w:val="auto"/>
          <w:sz w:val="32"/>
          <w:szCs w:val="32"/>
          <w:shd w:val="clear" w:color="auto" w:fill="FFFFFF"/>
          <w:lang w:val="en" w:eastAsia="zh-CN" w:bidi="ar"/>
        </w:rPr>
        <w:t>4.3.2 启动应急响应</w:t>
      </w:r>
    </w:p>
    <w:p w14:paraId="6FD1358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①</w:t>
      </w:r>
      <w:bookmarkEnd w:id="3"/>
      <w:bookmarkStart w:id="4" w:name="_Toc82092299"/>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药品、医疗器械、化妆品Ⅰ级应急响应和涉及疫苗质量安全事件的Ⅰ级、Ⅱ级应急响应</w:t>
      </w:r>
    </w:p>
    <w:p w14:paraId="43A0DD47">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发生特别重大药品、医疗器械、化妆品安全突发事件和特别重大、重大疫苗质量安全事件，或者经分析研判认为突发事件有进一步升级为上述等级突发事件趋势时，由国务院或国家有关部委决定启动Ⅰ级或涉及疫苗质量安全事件Ⅰ级、Ⅱ级应急响应；涉及本</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行政区域或需要本</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相关职能部门参与处理的，由</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人民政府对应国务院或国家相关部委的分级确定响应级别并启动响应。</w:t>
      </w:r>
    </w:p>
    <w:p w14:paraId="765E1E68">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②药品、医疗器械、化妆品Ⅱ</w:t>
      </w:r>
      <w:bookmarkEnd w:id="4"/>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级应急响应和涉及疫苗质量安全事件Ⅲ级应急响应</w:t>
      </w:r>
    </w:p>
    <w:p w14:paraId="04AAEF06">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发生重大药品、医疗器械、化妆品安全突发事件和较大疫苗质量安全事件，或者经分析研判认为突发事件有进一步升级为上述等级突发事件趋势时，由省有关部门决定启动Ⅱ级或涉及疫苗质量安全事件Ⅲ级应急响应；涉及本</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行政区域或需要本</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相关职能部门参与处理的，由</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人民政府对应省政府或省相关部门的分级确定响应级别并启动响应。</w:t>
      </w:r>
    </w:p>
    <w:p w14:paraId="1204510F">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③药品、医疗器械、化妆品Ⅲ级应急响应和涉及疫苗质量安全事件Ⅳ级应急响应</w:t>
      </w:r>
    </w:p>
    <w:p w14:paraId="7538661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发生较大药品、医疗器械、化妆品安全突发事件和一般疫苗质量安全事件，或者经分析研判认为突发事件有进一步升级为上述等级突发事件趋势时，由市人民政府决定并启动Ⅲ级或涉及疫苗质量安全事件Ⅳ级应急响应；涉及本</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行政区域或需要本</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相关职能部门参与处理的，由</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人民政府对应</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政府或</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相关部门的分级确定响应级别并启动响应。</w:t>
      </w:r>
    </w:p>
    <w:p w14:paraId="353A91D8">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④药品、医疗器械、化妆品Ⅳ级应急响应</w:t>
      </w:r>
    </w:p>
    <w:p w14:paraId="53AED98B">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本</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范围内发生一般药品、医疗器械和化妆品安全突发事件，或者经分析研判认为突发事件有进一步发展为一般等级突发事件趋势时，由</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人民政府决定并启动Ⅳ级应急响应，组织、指挥、协调、调度相关应急力量和资源实施应急处置。</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区市场监管局</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区卫健委</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和区公安</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分局</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等部门按照职责分工密切配合，共同实施应急处置，并及时将应急响应启动、先期处置等情况向</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人民政府和上级主管部门报告。</w:t>
      </w:r>
    </w:p>
    <w:p w14:paraId="6AC89473">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4.4 处置措施</w:t>
      </w:r>
    </w:p>
    <w:p w14:paraId="34C39A9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在先期处置的基础上，</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应急指挥部根据突发事件具体情况，统一指挥各工作组，按照分工采取以下措施。</w:t>
      </w:r>
    </w:p>
    <w:p w14:paraId="0F9DB878">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4.4.1 药品、医疗器械、化妆品Ⅰ级、Ⅱ级、Ⅲ级应急响应处置措施</w:t>
      </w:r>
    </w:p>
    <w:p w14:paraId="66A948B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①</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市场监管局收到</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市场监管局通知或通报后，及时通知到</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区卫健委</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，各部门依据职责通知相关经营、使用单位；组织对涉事产品进行查封、溯源、流向追踪并汇总统计；对</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内相关不良反应（事件）进行统计。相关信息及时报告</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w:t>
      </w:r>
    </w:p>
    <w:p w14:paraId="38BE5FF0">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②</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市场监管局协调相关部门，按照</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市场监管局的部署和要求落实相关工作，对突发事件进行现场核实，包括发生的时间、地点，涉事产品的名称和生产批号，不良反应（事件）表现，事件情况、事件涉及的病例数和死亡病例数；协调</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区卫健委</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对患者开展医疗救治；依法对</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内的涉事产品采取紧急控制措施；组织对涉事产品进行检验检测，对流通和使用等环节进行现场调查。相关信息及时报告</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w:t>
      </w:r>
    </w:p>
    <w:p w14:paraId="4489764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③</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市场监管局依据职责立即组织对在本</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行政区域内涉及的药品、医疗器械、化妆品经营单位开展现场调查，监督召回涉事产品；按照</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市场监管局要求，组织对企业的涉事产品留样进行抽样、检验检测。相关信息及时报告</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w:t>
      </w:r>
    </w:p>
    <w:p w14:paraId="54F6D578">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4.4.2涉及疫苗质量安全事件Ⅰ级、Ⅱ级、Ⅲ级、Ⅳ级应急响应处置措施</w:t>
      </w:r>
    </w:p>
    <w:p w14:paraId="2E6A7AD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市场监管局按照</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市场监管局部署，第一时间通知</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区卫健</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委和相关疫苗配送、接种单位，并根据风险研判情况依法采取暂停使用、召回等风险管理措施，组织对涉事疫苗进行查封、溯源、流向追踪并汇总统计，及时向</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市场监管局报告调查处置情况。</w:t>
      </w:r>
    </w:p>
    <w:p w14:paraId="511EE47D">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4.4.3药品、医疗器械、化妆品Ⅳ级应急响应处置措施</w:t>
      </w:r>
    </w:p>
    <w:p w14:paraId="631E1CC4">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①召开</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应急指挥部会议，研究部署应急处置工作。</w:t>
      </w:r>
    </w:p>
    <w:p w14:paraId="27FBF3AB">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②</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应急指挥部办公室及时收集、汇总、核实、评估事件信息和应急处置进展情况，建立报告制度，做好信息通报。</w:t>
      </w:r>
    </w:p>
    <w:p w14:paraId="040305B6">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③有效利用医疗资源，组织指导医疗机构救治患者、筛查和确认可疑病例，必要时组织医疗专家和卫生应急队伍开展医疗救治工作，提出保护公众健康的措施建议，做好患者的心理疏导。</w:t>
      </w:r>
    </w:p>
    <w:p w14:paraId="6DF2D8EB">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④组织有关部门和不良反应监测、检验检测等专业技术机构开展事件调查，尽快查明事件发生原因，认定事件责任，提出对责任单位、责任人的处理建议，研究提出防范措施和处置意见，提交调查报告。对涉嫌犯罪的，及时移送公安机关依法处理。</w:t>
      </w:r>
    </w:p>
    <w:p w14:paraId="278CCE91">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⑤组织</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市场监管部门</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依法查封涉事产品、原辅料及相关设施设备，待查明原因后依法处理。根据突发事件处置需要，暂停涉事产品的生产、经营和使用（接种），监督医疗机构、生产经营单位开展溯源、流向追踪和召回等工作。实施监督抽检，采取紧急控制措施防止或减轻危害，控制事态蔓延。</w:t>
      </w:r>
    </w:p>
    <w:p w14:paraId="758C976E">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⑥加强社会治安管理，严厉打击编造传播事件谣言、制造社会恐慌、趁机扰乱社会秩序等违法犯罪行为；加强对救助患者的医疗机构、相关经营单位、应急物资存放点等重点地区的治安管控；密切关注社会动态，做好患者及亲属安抚、信访接访等工作，化解各类矛盾纠纷，防止发生群体性事件，维护社会稳定。</w:t>
      </w:r>
    </w:p>
    <w:p w14:paraId="51C5421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⑦做好不良反应（事件）跟踪监测工作，检索查询国内外相关资料，汇总相关信息。</w:t>
      </w:r>
    </w:p>
    <w:p w14:paraId="10CA7E0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⑧根据事件调查进展情况，适时组织召开专家组会议，及时分析、研判事件的性质、发生原因、发展趋势及严重程度等情况，提出处置意见建议。</w:t>
      </w:r>
    </w:p>
    <w:p w14:paraId="2BEE65E1">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⑨及时向社会发布事件调查处理等信息，设立并对外公布咨询电话，密切关注社会及网络舆情，做好舆论引导工作；根据事件处置进展和需要，召开新闻发布会，客观准确地发布事件信息；开展相关科普知识宣传教育，消除公众恐慌心理。</w:t>
      </w:r>
    </w:p>
    <w:p w14:paraId="5E22E263">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各工作组和专家组开展处置情况及时向</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应急指挥部办公室报告。</w:t>
      </w:r>
    </w:p>
    <w:p w14:paraId="029E05CF">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4.5 响应级别调整</w:t>
      </w:r>
    </w:p>
    <w:p w14:paraId="3F1469E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在突发事件处置过程中，应遵循事件发生、发展的客观规律，结合实际情况和处置需要，根据评估结果及时调整应急响应级别。调整的主体与程序，按照响应启动规定执行。</w:t>
      </w:r>
    </w:p>
    <w:p w14:paraId="6C9F37A8">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4.5.1 级别提升。当突发事件进一步加重，影响和危害有扩大蔓延趋势，情况复杂难以控制时，应当及时提升响应级别。</w:t>
      </w:r>
    </w:p>
    <w:p w14:paraId="03420FC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4.5.2 级别降低。当突发事件危害或不良影响得到有效控制，经研判认为事件危害或不良影响降低到原级别评估标准以下，且无进一步蔓延趋势的，应当及时降低应急响应级别。</w:t>
      </w:r>
    </w:p>
    <w:p w14:paraId="7F5CE850">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4.6 响应终止</w:t>
      </w:r>
    </w:p>
    <w:p w14:paraId="6883590F">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患者病情稳定或损伤得到控制，24小时内无新发病例，涉事产品及原辅料得到有效控制，源头追溯清楚，原因查明，责任厘清，社会舆论得到有效引导，突发事件得到控制，</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应急指挥部及时组织风险研判，经</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应急指挥部总指挥同意，终止应急响应。</w:t>
      </w:r>
    </w:p>
    <w:p w14:paraId="35D31E11">
      <w:pPr>
        <w:keepNext w:val="0"/>
        <w:keepLines w:val="0"/>
        <w:pageBreakBefore w:val="0"/>
        <w:tabs>
          <w:tab w:val="left" w:pos="1314"/>
        </w:tabs>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4.7 信息发布</w:t>
      </w:r>
    </w:p>
    <w:p w14:paraId="513BEC60">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信息发布应坚持实事求是、及时准确、客观公正的原则，由</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应急指挥部或者授权其新闻宣传组统一协调、组织报道。信息可通过接受记者采访、召开新闻发布会等形式进行发布，充分利用广播、电视、报纸、政府网站、重点新闻网站、微博、微信等多种媒体平台，及时回应社会关切，澄清不实信息，杜绝新闻媒体的不准确报道，最大限度地避免或减少公众猜测。</w:t>
      </w:r>
    </w:p>
    <w:p w14:paraId="3468D8B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参与处置工作的单位和个人不得擅自对外发布相关信息。任何单位和个人不得编造、散布虚假药品安全信息。</w:t>
      </w:r>
    </w:p>
    <w:p w14:paraId="5E589D88">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US" w:eastAsia="zh-CN" w:bidi="ar-SA"/>
        </w:rPr>
        <w:t>4</w:t>
      </w:r>
      <w:r>
        <w:rPr>
          <w:rFonts w:hint="eastAsia" w:ascii="楷体_GB2312" w:hAnsi="楷体_GB2312" w:eastAsia="楷体_GB2312" w:cs="楷体_GB2312"/>
          <w:b w:val="0"/>
          <w:bCs w:val="0"/>
          <w:i w:val="0"/>
          <w:iCs w:val="0"/>
          <w:color w:val="auto"/>
          <w:sz w:val="32"/>
          <w:szCs w:val="32"/>
          <w:shd w:val="clear" w:color="auto" w:fill="FFFFFF"/>
          <w:lang w:val="en" w:eastAsia="zh-CN" w:bidi="ar-SA"/>
        </w:rPr>
        <w:t>.7.</w:t>
      </w:r>
      <w:r>
        <w:rPr>
          <w:rFonts w:hint="eastAsia" w:ascii="楷体_GB2312" w:hAnsi="楷体_GB2312" w:eastAsia="楷体_GB2312" w:cs="楷体_GB2312"/>
          <w:b w:val="0"/>
          <w:bCs w:val="0"/>
          <w:i w:val="0"/>
          <w:iCs w:val="0"/>
          <w:color w:val="auto"/>
          <w:sz w:val="32"/>
          <w:szCs w:val="32"/>
          <w:shd w:val="clear" w:color="auto" w:fill="FFFFFF"/>
          <w:lang w:val="en-US" w:eastAsia="zh-CN" w:bidi="ar-SA"/>
        </w:rPr>
        <w:t>1</w:t>
      </w:r>
      <w:r>
        <w:rPr>
          <w:rFonts w:hint="eastAsia" w:ascii="楷体_GB2312" w:hAnsi="楷体_GB2312" w:eastAsia="楷体_GB2312" w:cs="楷体_GB2312"/>
          <w:b w:val="0"/>
          <w:bCs w:val="0"/>
          <w:i w:val="0"/>
          <w:iCs w:val="0"/>
          <w:color w:val="auto"/>
          <w:sz w:val="32"/>
          <w:szCs w:val="32"/>
          <w:shd w:val="clear" w:color="auto" w:fill="FFFFFF"/>
          <w:lang w:val="en" w:eastAsia="zh-CN" w:bidi="ar-SA"/>
        </w:rPr>
        <w:t xml:space="preserve"> 信息发布内容</w:t>
      </w:r>
    </w:p>
    <w:p w14:paraId="2049D78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信息发布主要包括事件概况、严重程度、影响范围、应对措施、需要公众配合采取的措施、公众防范常识和突发事件处理进展情况等内容。</w:t>
      </w:r>
    </w:p>
    <w:p w14:paraId="7E37BE9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US" w:eastAsia="zh-CN" w:bidi="ar-SA"/>
        </w:rPr>
        <w:t>4</w:t>
      </w:r>
      <w:r>
        <w:rPr>
          <w:rFonts w:hint="eastAsia" w:ascii="楷体_GB2312" w:hAnsi="楷体_GB2312" w:eastAsia="楷体_GB2312" w:cs="楷体_GB2312"/>
          <w:b w:val="0"/>
          <w:bCs w:val="0"/>
          <w:i w:val="0"/>
          <w:iCs w:val="0"/>
          <w:color w:val="auto"/>
          <w:sz w:val="32"/>
          <w:szCs w:val="32"/>
          <w:shd w:val="clear" w:color="auto" w:fill="FFFFFF"/>
          <w:lang w:val="en" w:eastAsia="zh-CN" w:bidi="ar-SA"/>
        </w:rPr>
        <w:t>.7.</w:t>
      </w:r>
      <w:r>
        <w:rPr>
          <w:rFonts w:hint="eastAsia" w:ascii="楷体_GB2312" w:hAnsi="楷体_GB2312" w:eastAsia="楷体_GB2312" w:cs="楷体_GB2312"/>
          <w:b w:val="0"/>
          <w:bCs w:val="0"/>
          <w:i w:val="0"/>
          <w:iCs w:val="0"/>
          <w:color w:val="auto"/>
          <w:sz w:val="32"/>
          <w:szCs w:val="32"/>
          <w:shd w:val="clear" w:color="auto" w:fill="FFFFFF"/>
          <w:lang w:val="en-US" w:eastAsia="zh-CN" w:bidi="ar-SA"/>
        </w:rPr>
        <w:t>2</w:t>
      </w:r>
      <w:r>
        <w:rPr>
          <w:rFonts w:hint="eastAsia" w:ascii="楷体_GB2312" w:hAnsi="楷体_GB2312" w:eastAsia="楷体_GB2312" w:cs="楷体_GB2312"/>
          <w:b w:val="0"/>
          <w:bCs w:val="0"/>
          <w:i w:val="0"/>
          <w:iCs w:val="0"/>
          <w:color w:val="auto"/>
          <w:sz w:val="32"/>
          <w:szCs w:val="32"/>
          <w:shd w:val="clear" w:color="auto" w:fill="FFFFFF"/>
          <w:lang w:val="en" w:eastAsia="zh-CN" w:bidi="ar-SA"/>
        </w:rPr>
        <w:t xml:space="preserve"> 信息发布权限和要求</w:t>
      </w:r>
    </w:p>
    <w:p w14:paraId="32C0F420">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①特别重大疫苗质量安全事件由国务院以及国家疫苗管理部际联席会议统筹发布相关信息。</w:t>
      </w:r>
    </w:p>
    <w:p w14:paraId="26EE21C2">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②特别重大药品、医疗器械、化妆品安全突发事件和重大疫苗质量安全事件由国家药监局统一发布相关信息。</w:t>
      </w:r>
    </w:p>
    <w:p w14:paraId="59EAC81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③重大药品、医疗器械、化妆品安全突发事件和较大疫苗质量安全事件，由省应急指挥部统一发布相关信息。</w:t>
      </w:r>
    </w:p>
    <w:p w14:paraId="02E6849F">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④较大药品、医疗器械、化妆品安全突发事件和一般疫苗质量安全事件，由</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市政府或市</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应急指挥部及时发布权威信息，根据处置进展动态发布相关信息。</w:t>
      </w:r>
    </w:p>
    <w:p w14:paraId="3F3522FA">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⑤一般药品、医疗器械和化妆品安全突发事件，由</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人民政府</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或区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应急指挥部及时发布权威信息，根据处置进展动态发布相关信息。</w:t>
      </w:r>
    </w:p>
    <w:p w14:paraId="371DFFB5">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SA"/>
        </w:rPr>
      </w:pPr>
      <w:r>
        <w:rPr>
          <w:rFonts w:hint="eastAsia" w:ascii="黑体" w:hAnsi="黑体" w:eastAsia="黑体" w:cs="黑体"/>
          <w:b w:val="0"/>
          <w:bCs w:val="0"/>
          <w:i w:val="0"/>
          <w:iCs w:val="0"/>
          <w:color w:val="auto"/>
          <w:sz w:val="32"/>
          <w:szCs w:val="32"/>
          <w:shd w:val="clear" w:color="auto" w:fill="FFFFFF"/>
          <w:lang w:val="en" w:eastAsia="zh-CN" w:bidi="ar-SA"/>
        </w:rPr>
        <w:t>5 恢复重建</w:t>
      </w:r>
    </w:p>
    <w:p w14:paraId="091BB932">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5.1 善后处置</w:t>
      </w:r>
    </w:p>
    <w:p w14:paraId="5BB9908B">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善后处置工作主要包括人员救助、抚恤、补偿，征用物资及运输工具补偿，应急处置及医疗机构垫付费用、突发事件受害者后续治疗费用、涉事产品抽样及检验费用的拨付，污染物收集、清理与处理等工作。</w:t>
      </w:r>
    </w:p>
    <w:p w14:paraId="07DE63A4">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事发地镇街</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及有关部门应积极做好善后处置工作，尽快妥善安置、慰问受害和受影响人员，消除事件影响，恢复正常秩序，确保社会稳定；完善相关政策，促进行业健康发展；事件的责任单位和责任人应当按照有关法律、法规、规定对受害人给予赔偿或补偿；</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区市场监管局</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会同</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区卫健委</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组织受突发事件影响的疫苗补种等善后处置工作。</w:t>
      </w:r>
    </w:p>
    <w:p w14:paraId="1240226E">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5.2 调查评估</w:t>
      </w:r>
    </w:p>
    <w:p w14:paraId="78B1E49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突发事件应急处置工作结束后，区人民政府组织区市场监管局、区卫健委、区公安分局等部门对突发事件的起因、性质、影响、责任、经验教训等进行调查评估，评估应急处置工作开展情况和效果，提出对类似事件的防范和处置建议，并向上级人民政府和上级市场监管部门提交书面调查报告。特别重大突发事件和重大突发事件的调查评估，按照国家有关规定执行。</w:t>
      </w:r>
    </w:p>
    <w:p w14:paraId="2D1764CE">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5.3 恢复重建</w:t>
      </w:r>
    </w:p>
    <w:p w14:paraId="08826D92">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bidi="ar"/>
        </w:rPr>
        <w:t>应急处置工作结束后，</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各镇街</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bidi="ar"/>
        </w:rPr>
        <w:t>要立即组织科学制定恢复重建计划，并向</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bidi="ar"/>
        </w:rPr>
        <w:t>人民政府报告；受突发事件影响地区的</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eastAsia="zh-CN" w:bidi="ar"/>
        </w:rPr>
        <w:t>镇街</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bidi="ar"/>
        </w:rPr>
        <w:t>要及时组织和协调有关部门恢复正常供应，保障公众药品、疫苗、医疗器械和化妆品可及。</w:t>
      </w:r>
    </w:p>
    <w:p w14:paraId="52DF3CB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SA"/>
        </w:rPr>
      </w:pPr>
      <w:r>
        <w:rPr>
          <w:rFonts w:hint="eastAsia" w:ascii="黑体" w:hAnsi="黑体" w:eastAsia="黑体" w:cs="黑体"/>
          <w:b w:val="0"/>
          <w:bCs w:val="0"/>
          <w:i w:val="0"/>
          <w:iCs w:val="0"/>
          <w:color w:val="auto"/>
          <w:sz w:val="32"/>
          <w:szCs w:val="32"/>
          <w:shd w:val="clear" w:color="auto" w:fill="FFFFFF"/>
          <w:lang w:val="en" w:eastAsia="zh-CN" w:bidi="ar-SA"/>
        </w:rPr>
        <w:t>6 保障措施</w:t>
      </w:r>
    </w:p>
    <w:p w14:paraId="2EC2084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6.1 队伍保障</w:t>
      </w:r>
    </w:p>
    <w:p w14:paraId="4A7344F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highlight w:val="none"/>
          <w:shd w:val="clear" w:color="auto" w:fill="FFFFFF"/>
          <w:lang w:val="e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val="en" w:bidi="ar"/>
        </w:rPr>
        <w:t>区应急指挥部负责全</w:t>
      </w:r>
      <w:r>
        <w:rPr>
          <w:rFonts w:hint="eastAsia" w:ascii="仿宋_GB2312" w:hAnsi="仿宋_GB2312" w:eastAsia="仿宋_GB2312" w:cs="仿宋_GB2312"/>
          <w:b w:val="0"/>
          <w:bCs w:val="0"/>
          <w:i w:val="0"/>
          <w:iCs w:val="0"/>
          <w:color w:val="auto"/>
          <w:kern w:val="0"/>
          <w:sz w:val="32"/>
          <w:szCs w:val="32"/>
          <w:highlight w:val="none"/>
          <w:shd w:val="clear" w:color="auto" w:fill="FFFFFF"/>
          <w:lang w:val="en-US" w:eastAsia="zh-CN" w:bidi="ar"/>
        </w:rPr>
        <w:t>区</w:t>
      </w:r>
      <w:r>
        <w:rPr>
          <w:rFonts w:hint="eastAsia" w:ascii="仿宋_GB2312" w:hAnsi="仿宋_GB2312" w:eastAsia="仿宋_GB2312" w:cs="仿宋_GB2312"/>
          <w:b w:val="0"/>
          <w:bCs w:val="0"/>
          <w:i w:val="0"/>
          <w:iCs w:val="0"/>
          <w:color w:val="auto"/>
          <w:kern w:val="0"/>
          <w:sz w:val="32"/>
          <w:szCs w:val="32"/>
          <w:highlight w:val="none"/>
          <w:shd w:val="clear" w:color="auto" w:fill="FFFFFF"/>
          <w:lang w:val="en" w:bidi="ar"/>
        </w:rPr>
        <w:t>突发事件应急力量的统一协调指挥。建立应急处置队伍，为应急处置提供人员保障；加强应急处置能力培训，提高快速应对能力和技术水平；健全专家队伍，为事件调查、风险评估等应急处置工作提供人才支撑。</w:t>
      </w:r>
    </w:p>
    <w:p w14:paraId="1315F39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6.2 资金保障</w:t>
      </w:r>
    </w:p>
    <w:p w14:paraId="7777F9B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shd w:val="clear" w:color="auto" w:fill="FFFFFF"/>
          <w:lang w:val="en"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eastAsia="zh-CN" w:bidi="ar"/>
        </w:rPr>
        <w:t>各级</w:t>
      </w:r>
      <w:r>
        <w:rPr>
          <w:rFonts w:hint="eastAsia" w:ascii="仿宋_GB2312" w:hAnsi="仿宋_GB2312" w:eastAsia="仿宋_GB2312" w:cs="仿宋_GB2312"/>
          <w:b w:val="0"/>
          <w:bCs w:val="0"/>
          <w:i w:val="0"/>
          <w:iCs w:val="0"/>
          <w:color w:val="auto"/>
          <w:kern w:val="0"/>
          <w:sz w:val="32"/>
          <w:szCs w:val="32"/>
          <w:highlight w:val="none"/>
          <w:shd w:val="clear" w:color="auto" w:fill="FFFFFF"/>
          <w:lang w:bidi="ar"/>
        </w:rPr>
        <w:t>人民政府要做好突发</w:t>
      </w:r>
      <w:r>
        <w:rPr>
          <w:rFonts w:hint="eastAsia" w:ascii="仿宋_GB2312" w:hAnsi="仿宋_GB2312" w:eastAsia="仿宋_GB2312" w:cs="仿宋_GB2312"/>
          <w:b w:val="0"/>
          <w:bCs w:val="0"/>
          <w:i w:val="0"/>
          <w:iCs w:val="0"/>
          <w:color w:val="auto"/>
          <w:kern w:val="0"/>
          <w:sz w:val="32"/>
          <w:szCs w:val="32"/>
          <w:shd w:val="clear" w:color="auto" w:fill="FFFFFF"/>
          <w:lang w:bidi="ar"/>
        </w:rPr>
        <w:t>事件防范和应对工作经费保障。</w:t>
      </w:r>
    </w:p>
    <w:p w14:paraId="1510EE14">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6.3 物资保障</w:t>
      </w:r>
    </w:p>
    <w:p w14:paraId="3C82661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kern w:val="0"/>
          <w:sz w:val="32"/>
          <w:szCs w:val="32"/>
          <w:shd w:val="clear" w:color="auto" w:fill="FFFFFF"/>
          <w:lang w:bidi="ar"/>
        </w:rPr>
      </w:pPr>
      <w:r>
        <w:rPr>
          <w:rFonts w:hint="eastAsia" w:ascii="仿宋_GB2312" w:hAnsi="仿宋_GB2312" w:eastAsia="仿宋_GB2312" w:cs="仿宋_GB2312"/>
          <w:b w:val="0"/>
          <w:bCs w:val="0"/>
          <w:i w:val="0"/>
          <w:iCs w:val="0"/>
          <w:color w:val="auto"/>
          <w:kern w:val="0"/>
          <w:sz w:val="32"/>
          <w:szCs w:val="32"/>
          <w:highlight w:val="none"/>
          <w:shd w:val="clear" w:color="auto" w:fill="FFFFFF"/>
          <w:lang w:eastAsia="zh-CN" w:bidi="ar"/>
        </w:rPr>
        <w:t>各级</w:t>
      </w:r>
      <w:r>
        <w:rPr>
          <w:rFonts w:hint="eastAsia" w:ascii="仿宋_GB2312" w:hAnsi="仿宋_GB2312" w:eastAsia="仿宋_GB2312" w:cs="仿宋_GB2312"/>
          <w:b w:val="0"/>
          <w:bCs w:val="0"/>
          <w:i w:val="0"/>
          <w:iCs w:val="0"/>
          <w:color w:val="auto"/>
          <w:kern w:val="0"/>
          <w:sz w:val="32"/>
          <w:szCs w:val="32"/>
          <w:highlight w:val="none"/>
          <w:shd w:val="clear" w:color="auto" w:fill="FFFFFF"/>
          <w:lang w:bidi="ar"/>
        </w:rPr>
        <w:t>人民政府应根据有关</w:t>
      </w:r>
      <w:r>
        <w:rPr>
          <w:rFonts w:hint="eastAsia" w:ascii="仿宋_GB2312" w:hAnsi="仿宋_GB2312" w:eastAsia="仿宋_GB2312" w:cs="仿宋_GB2312"/>
          <w:b w:val="0"/>
          <w:bCs w:val="0"/>
          <w:i w:val="0"/>
          <w:iCs w:val="0"/>
          <w:color w:val="auto"/>
          <w:kern w:val="0"/>
          <w:sz w:val="32"/>
          <w:szCs w:val="32"/>
          <w:shd w:val="clear" w:color="auto" w:fill="FFFFFF"/>
          <w:lang w:bidi="ar"/>
        </w:rPr>
        <w:t>法律法规和应急预案的规定，做好</w:t>
      </w:r>
      <w:r>
        <w:rPr>
          <w:rFonts w:hint="eastAsia" w:ascii="仿宋_GB2312" w:hAnsi="仿宋_GB2312" w:eastAsia="仿宋_GB2312" w:cs="仿宋_GB2312"/>
          <w:b w:val="0"/>
          <w:bCs w:val="0"/>
          <w:i w:val="0"/>
          <w:iCs w:val="0"/>
          <w:color w:val="auto"/>
          <w:kern w:val="0"/>
          <w:sz w:val="32"/>
          <w:szCs w:val="32"/>
          <w:shd w:val="clear" w:color="auto" w:fill="FFFFFF"/>
          <w:lang w:val="en" w:bidi="ar"/>
        </w:rPr>
        <w:t>应急处置所需设施、设备、物资储备工作，或与有关企业签订协议，保障应急救援物资、生活必需品和应急处置装备的供给。</w:t>
      </w:r>
    </w:p>
    <w:p w14:paraId="6A5531BE">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6.4 医疗保障</w:t>
      </w:r>
    </w:p>
    <w:p w14:paraId="27DFBF7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区卫健</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委</w:t>
      </w:r>
      <w:r>
        <w:rPr>
          <w:rFonts w:hint="eastAsia" w:ascii="仿宋_GB2312" w:hAnsi="仿宋_GB2312" w:eastAsia="仿宋_GB2312" w:cs="仿宋_GB2312"/>
          <w:b w:val="0"/>
          <w:bCs w:val="0"/>
          <w:i w:val="0"/>
          <w:iCs w:val="0"/>
          <w:color w:val="auto"/>
          <w:sz w:val="32"/>
          <w:szCs w:val="32"/>
          <w:shd w:val="clear" w:color="auto" w:fill="FFFFFF"/>
          <w:lang w:val="en" w:eastAsia="zh-CN" w:bidi="ar-SA"/>
        </w:rPr>
        <w:t>发挥应急医疗救治体系作用，在突发事件造成人员伤害时，及时开展医疗救治、卫生处理等工作；</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区工</w:t>
      </w:r>
      <w:r>
        <w:rPr>
          <w:rFonts w:hint="eastAsia" w:ascii="仿宋_GB2312" w:hAnsi="仿宋_GB2312" w:eastAsia="仿宋_GB2312" w:cs="仿宋_GB2312"/>
          <w:b w:val="0"/>
          <w:bCs w:val="0"/>
          <w:i w:val="0"/>
          <w:iCs w:val="0"/>
          <w:color w:val="auto"/>
          <w:sz w:val="32"/>
          <w:szCs w:val="32"/>
          <w:shd w:val="clear" w:color="auto" w:fill="FFFFFF"/>
          <w:lang w:val="en" w:eastAsia="zh-CN" w:bidi="ar-SA"/>
        </w:rPr>
        <w:t>信局、区卫健</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委</w:t>
      </w:r>
      <w:r>
        <w:rPr>
          <w:rFonts w:hint="eastAsia" w:ascii="仿宋_GB2312" w:hAnsi="仿宋_GB2312" w:eastAsia="仿宋_GB2312" w:cs="仿宋_GB2312"/>
          <w:b w:val="0"/>
          <w:bCs w:val="0"/>
          <w:i w:val="0"/>
          <w:iCs w:val="0"/>
          <w:color w:val="auto"/>
          <w:sz w:val="32"/>
          <w:szCs w:val="32"/>
          <w:shd w:val="clear" w:color="auto" w:fill="FFFFFF"/>
          <w:lang w:val="en" w:eastAsia="zh-CN" w:bidi="ar-SA"/>
        </w:rPr>
        <w:t>等部门根据本</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区</w:t>
      </w:r>
      <w:r>
        <w:rPr>
          <w:rFonts w:hint="eastAsia" w:ascii="仿宋_GB2312" w:hAnsi="仿宋_GB2312" w:eastAsia="仿宋_GB2312" w:cs="仿宋_GB2312"/>
          <w:b w:val="0"/>
          <w:bCs w:val="0"/>
          <w:i w:val="0"/>
          <w:iCs w:val="0"/>
          <w:color w:val="auto"/>
          <w:sz w:val="32"/>
          <w:szCs w:val="32"/>
          <w:shd w:val="clear" w:color="auto" w:fill="FFFFFF"/>
          <w:lang w:val="en" w:eastAsia="zh-CN" w:bidi="ar-SA"/>
        </w:rPr>
        <w:t>应急物资储备机制，按照实际情况和需求，及时提供卫生医疗物资保障。</w:t>
      </w:r>
    </w:p>
    <w:p w14:paraId="44FA654E">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6.5 交通保障</w:t>
      </w:r>
    </w:p>
    <w:p w14:paraId="68C647CE">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应急处置过程中，公安、交通等有关部门建立健全交通运输保障联动机制，保证紧急情况下应急交通工具的优先安排、优先调度、优先放行，确保运输安全畅通。</w:t>
      </w:r>
    </w:p>
    <w:p w14:paraId="24B422D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6.6 信息保障</w:t>
      </w:r>
    </w:p>
    <w:p w14:paraId="7350EC3B">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各级人民政府和有关部门负责建立健全不良反应（事件）监测、药物滥用监测、投诉举报等信息网络体系，完善相关信息数据库和信息报告系统，积极运用5G移动互联网、大数据等先进信息技术监测分析药品安全热点敏感信息。加强基层药品安全信息网络建设，实现信息快速传递和反馈，提高快速反应能力。</w:t>
      </w:r>
    </w:p>
    <w:p w14:paraId="5394882F">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6.7 社会动员保障</w:t>
      </w:r>
    </w:p>
    <w:p w14:paraId="5B3950B9">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各级人民政府和有关部门建立有效的社会动员机制，增强全民药品安全和风险防范意识，提高全社会避险救助能力；根据应急处置的需要，动员和组织社会力量协助参与应急处置工作；必要时，依法征用企业及个人物资；在应急处置过程中动用社会力量或企业、个人物资的，应当及时归还或给予补偿。</w:t>
      </w:r>
    </w:p>
    <w:p w14:paraId="2AA76888">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SA"/>
        </w:rPr>
      </w:pPr>
      <w:r>
        <w:rPr>
          <w:rFonts w:hint="eastAsia" w:ascii="黑体" w:hAnsi="黑体" w:eastAsia="黑体" w:cs="黑体"/>
          <w:b w:val="0"/>
          <w:bCs w:val="0"/>
          <w:i w:val="0"/>
          <w:iCs w:val="0"/>
          <w:color w:val="auto"/>
          <w:sz w:val="32"/>
          <w:szCs w:val="32"/>
          <w:shd w:val="clear" w:color="auto" w:fill="FFFFFF"/>
          <w:lang w:val="en" w:eastAsia="zh-CN" w:bidi="ar-SA"/>
        </w:rPr>
        <w:t>7 日常管理与责任奖惩</w:t>
      </w:r>
      <w:bookmarkStart w:id="5" w:name="_Toc18703"/>
      <w:bookmarkStart w:id="6" w:name="_Toc49272734"/>
      <w:bookmarkStart w:id="7" w:name="_Toc49528092"/>
      <w:bookmarkStart w:id="8" w:name="_Toc54085963"/>
      <w:bookmarkStart w:id="9" w:name="_Toc82092330"/>
    </w:p>
    <w:p w14:paraId="0FA6A738">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7.1</w:t>
      </w:r>
      <w:bookmarkEnd w:id="5"/>
      <w:bookmarkEnd w:id="6"/>
      <w:bookmarkEnd w:id="7"/>
      <w:bookmarkEnd w:id="8"/>
      <w:bookmarkEnd w:id="9"/>
      <w:r>
        <w:rPr>
          <w:rFonts w:hint="eastAsia" w:ascii="楷体_GB2312" w:hAnsi="楷体_GB2312" w:eastAsia="楷体_GB2312" w:cs="楷体_GB2312"/>
          <w:b w:val="0"/>
          <w:bCs w:val="0"/>
          <w:i w:val="0"/>
          <w:iCs w:val="0"/>
          <w:color w:val="auto"/>
          <w:sz w:val="32"/>
          <w:szCs w:val="32"/>
          <w:shd w:val="clear" w:color="auto" w:fill="FFFFFF"/>
          <w:lang w:val="en" w:eastAsia="zh-CN" w:bidi="ar-SA"/>
        </w:rPr>
        <w:t xml:space="preserve"> 宣传培训</w:t>
      </w:r>
    </w:p>
    <w:p w14:paraId="35D530F4">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各镇街</w:t>
      </w:r>
      <w:r>
        <w:rPr>
          <w:rFonts w:hint="eastAsia" w:ascii="仿宋_GB2312" w:hAnsi="仿宋_GB2312" w:eastAsia="仿宋_GB2312" w:cs="仿宋_GB2312"/>
          <w:b w:val="0"/>
          <w:bCs w:val="0"/>
          <w:i w:val="0"/>
          <w:iCs w:val="0"/>
          <w:color w:val="auto"/>
          <w:sz w:val="32"/>
          <w:szCs w:val="32"/>
          <w:shd w:val="clear" w:color="auto" w:fill="FFFFFF"/>
          <w:lang w:val="en" w:eastAsia="zh-CN" w:bidi="ar-SA"/>
        </w:rPr>
        <w:t>及有关部门要加强安全用药、用械和用妆宣传，普及药品管理等法律法规，定期开展安全用药科普活动，不断提高全社会的风险意识和防范能力。</w:t>
      </w:r>
    </w:p>
    <w:p w14:paraId="3415924F">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bookmarkStart w:id="10" w:name="_Toc54085965"/>
      <w:bookmarkStart w:id="11" w:name="_Toc49272741"/>
      <w:bookmarkStart w:id="12" w:name="_Toc16785"/>
      <w:bookmarkStart w:id="13" w:name="_Toc82092332"/>
      <w:bookmarkStart w:id="14" w:name="_Toc49528099"/>
      <w:r>
        <w:rPr>
          <w:rFonts w:hint="eastAsia" w:ascii="仿宋_GB2312" w:hAnsi="仿宋_GB2312" w:eastAsia="仿宋_GB2312" w:cs="仿宋_GB2312"/>
          <w:b w:val="0"/>
          <w:bCs w:val="0"/>
          <w:i w:val="0"/>
          <w:iCs w:val="0"/>
          <w:color w:val="auto"/>
          <w:sz w:val="32"/>
          <w:szCs w:val="32"/>
          <w:shd w:val="clear" w:color="auto" w:fill="FFFFFF"/>
          <w:lang w:val="en-US" w:eastAsia="zh-CN" w:bidi="ar-SA"/>
        </w:rPr>
        <w:t>各镇街</w:t>
      </w:r>
      <w:r>
        <w:rPr>
          <w:rFonts w:hint="eastAsia" w:ascii="仿宋_GB2312" w:hAnsi="仿宋_GB2312" w:eastAsia="仿宋_GB2312" w:cs="仿宋_GB2312"/>
          <w:b w:val="0"/>
          <w:bCs w:val="0"/>
          <w:i w:val="0"/>
          <w:iCs w:val="0"/>
          <w:color w:val="auto"/>
          <w:sz w:val="32"/>
          <w:szCs w:val="32"/>
          <w:shd w:val="clear" w:color="auto" w:fill="FFFFFF"/>
          <w:lang w:val="en" w:eastAsia="zh-CN" w:bidi="ar-SA"/>
        </w:rPr>
        <w:t>及</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区市场监管局</w:t>
      </w:r>
      <w:r>
        <w:rPr>
          <w:rFonts w:hint="eastAsia" w:ascii="仿宋_GB2312" w:hAnsi="仿宋_GB2312" w:eastAsia="仿宋_GB2312" w:cs="仿宋_GB2312"/>
          <w:b w:val="0"/>
          <w:bCs w:val="0"/>
          <w:i w:val="0"/>
          <w:iCs w:val="0"/>
          <w:color w:val="auto"/>
          <w:sz w:val="32"/>
          <w:szCs w:val="32"/>
          <w:shd w:val="clear" w:color="auto" w:fill="FFFFFF"/>
          <w:lang w:val="en" w:eastAsia="zh-CN" w:bidi="ar-SA"/>
        </w:rPr>
        <w:t>要依据职责建立健全应急管理培训制度，对应急管理队伍开展定期业务轮训。针对药品（疫苗）、医疗器械和化妆品经营使用（接种）单位进行</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应急处置培训，增强责任意识和应急</w:t>
      </w:r>
      <w:r>
        <w:rPr>
          <w:rFonts w:hint="eastAsia" w:ascii="仿宋_GB2312" w:hAnsi="仿宋_GB2312" w:eastAsia="仿宋_GB2312" w:cs="仿宋_GB2312"/>
          <w:b w:val="0"/>
          <w:bCs w:val="0"/>
          <w:i w:val="0"/>
          <w:iCs w:val="0"/>
          <w:color w:val="auto"/>
          <w:sz w:val="32"/>
          <w:szCs w:val="32"/>
          <w:shd w:val="clear" w:color="auto" w:fill="FFFFFF"/>
          <w:lang w:val="en" w:eastAsia="zh-CN" w:bidi="ar-SA"/>
        </w:rPr>
        <w:t>管理能力。</w:t>
      </w:r>
    </w:p>
    <w:p w14:paraId="13C3CD09">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7.2 预案编制</w:t>
      </w:r>
      <w:bookmarkEnd w:id="10"/>
      <w:bookmarkEnd w:id="11"/>
      <w:bookmarkEnd w:id="12"/>
      <w:bookmarkEnd w:id="13"/>
      <w:bookmarkEnd w:id="14"/>
    </w:p>
    <w:p w14:paraId="2910F268">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区</w:t>
      </w:r>
      <w:r>
        <w:rPr>
          <w:rFonts w:hint="eastAsia" w:ascii="仿宋_GB2312" w:hAnsi="仿宋_GB2312" w:eastAsia="仿宋_GB2312" w:cs="仿宋_GB2312"/>
          <w:b w:val="0"/>
          <w:bCs w:val="0"/>
          <w:i w:val="0"/>
          <w:iCs w:val="0"/>
          <w:color w:val="auto"/>
          <w:sz w:val="32"/>
          <w:szCs w:val="32"/>
          <w:shd w:val="clear" w:color="auto" w:fill="FFFFFF"/>
          <w:lang w:val="en" w:eastAsia="zh-CN" w:bidi="ar-SA"/>
        </w:rPr>
        <w:t>人民政府应当制定本区域药品安全突发事件应急预案，并抄送上级相关主管部门和应急管理部门。</w:t>
      </w:r>
    </w:p>
    <w:p w14:paraId="4EAB0C17">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bookmarkStart w:id="15" w:name="_Toc54085966"/>
      <w:bookmarkStart w:id="16" w:name="_Toc82092333"/>
      <w:bookmarkStart w:id="17" w:name="_Toc21973"/>
      <w:bookmarkStart w:id="18" w:name="_Toc49272742"/>
      <w:bookmarkStart w:id="19" w:name="_Toc49528100"/>
      <w:r>
        <w:rPr>
          <w:rFonts w:hint="eastAsia" w:ascii="楷体_GB2312" w:hAnsi="楷体_GB2312" w:eastAsia="楷体_GB2312" w:cs="楷体_GB2312"/>
          <w:b w:val="0"/>
          <w:bCs w:val="0"/>
          <w:i w:val="0"/>
          <w:iCs w:val="0"/>
          <w:color w:val="auto"/>
          <w:sz w:val="32"/>
          <w:szCs w:val="32"/>
          <w:shd w:val="clear" w:color="auto" w:fill="FFFFFF"/>
          <w:lang w:val="en" w:eastAsia="zh-CN" w:bidi="ar-SA"/>
        </w:rPr>
        <w:t>7.</w:t>
      </w:r>
      <w:bookmarkEnd w:id="15"/>
      <w:bookmarkEnd w:id="16"/>
      <w:bookmarkEnd w:id="17"/>
      <w:bookmarkEnd w:id="18"/>
      <w:bookmarkEnd w:id="19"/>
      <w:r>
        <w:rPr>
          <w:rFonts w:hint="eastAsia" w:ascii="楷体_GB2312" w:hAnsi="楷体_GB2312" w:eastAsia="楷体_GB2312" w:cs="楷体_GB2312"/>
          <w:b w:val="0"/>
          <w:bCs w:val="0"/>
          <w:i w:val="0"/>
          <w:iCs w:val="0"/>
          <w:color w:val="auto"/>
          <w:sz w:val="32"/>
          <w:szCs w:val="32"/>
          <w:shd w:val="clear" w:color="auto" w:fill="FFFFFF"/>
          <w:lang w:val="en" w:eastAsia="zh-CN" w:bidi="ar-SA"/>
        </w:rPr>
        <w:t>3 应急演练</w:t>
      </w:r>
    </w:p>
    <w:p w14:paraId="14909126">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各级人</w:t>
      </w:r>
      <w:r>
        <w:rPr>
          <w:rFonts w:hint="eastAsia" w:ascii="仿宋_GB2312" w:hAnsi="仿宋_GB2312" w:eastAsia="仿宋_GB2312" w:cs="仿宋_GB2312"/>
          <w:b w:val="0"/>
          <w:bCs w:val="0"/>
          <w:i w:val="0"/>
          <w:iCs w:val="0"/>
          <w:color w:val="auto"/>
          <w:sz w:val="32"/>
          <w:szCs w:val="32"/>
          <w:shd w:val="clear" w:color="auto" w:fill="FFFFFF"/>
          <w:lang w:val="en" w:eastAsia="zh-CN" w:bidi="ar-SA"/>
        </w:rPr>
        <w:t>民政府及</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区市场监管局</w:t>
      </w:r>
      <w:r>
        <w:rPr>
          <w:rFonts w:hint="eastAsia" w:ascii="仿宋_GB2312" w:hAnsi="仿宋_GB2312" w:eastAsia="仿宋_GB2312" w:cs="仿宋_GB2312"/>
          <w:b w:val="0"/>
          <w:bCs w:val="0"/>
          <w:i w:val="0"/>
          <w:iCs w:val="0"/>
          <w:color w:val="auto"/>
          <w:sz w:val="32"/>
          <w:szCs w:val="32"/>
          <w:shd w:val="clear" w:color="auto" w:fill="FFFFFF"/>
          <w:lang w:val="en" w:eastAsia="zh-CN" w:bidi="ar-SA"/>
        </w:rPr>
        <w:t>要建立应急演练制度，</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开展常态化应急演练，检验和强化应急响应能力，及时对应急演练进行总结评估；针对演练中发现问题需要作出重大调整的或面临的风险发生重大变化、重要应急资源发生重大变化等情况时，及时修订应急预案，完善应急措施，不断提高应急处置能力。</w:t>
      </w:r>
    </w:p>
    <w:p w14:paraId="669BEEA2">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7.4 责任与奖惩</w:t>
      </w:r>
    </w:p>
    <w:p w14:paraId="3C7AA3A4">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各级人</w:t>
      </w:r>
      <w:r>
        <w:rPr>
          <w:rFonts w:hint="eastAsia" w:ascii="仿宋_GB2312" w:hAnsi="仿宋_GB2312" w:eastAsia="仿宋_GB2312" w:cs="仿宋_GB2312"/>
          <w:b w:val="0"/>
          <w:bCs w:val="0"/>
          <w:i w:val="0"/>
          <w:iCs w:val="0"/>
          <w:color w:val="auto"/>
          <w:sz w:val="32"/>
          <w:szCs w:val="32"/>
          <w:shd w:val="clear" w:color="auto" w:fill="FFFFFF"/>
          <w:lang w:val="en" w:eastAsia="zh-CN" w:bidi="ar-SA"/>
        </w:rPr>
        <w:t>民政府</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及有关部门根据相关规定，建立健全应急管理工作领导责任制和责任追究制，将应急处置工作纳入区人民政府及其有关部门绩效考核。对迟报、谎报、瞒报和漏报突发事件重要情况，或者应急处置不力等其他失职、渎职行为的，依照有关规定给予处分；构成犯罪的，依法追究刑事责任。</w:t>
      </w:r>
    </w:p>
    <w:p w14:paraId="14C01E3A">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对应急管理工作中做出突出贡献的先进集体和个人，按照有关规定给予褒扬激励。</w:t>
      </w:r>
    </w:p>
    <w:p w14:paraId="263690C5">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SA"/>
        </w:rPr>
      </w:pPr>
      <w:r>
        <w:rPr>
          <w:rFonts w:hint="eastAsia" w:ascii="黑体" w:hAnsi="黑体" w:eastAsia="黑体" w:cs="黑体"/>
          <w:b w:val="0"/>
          <w:bCs w:val="0"/>
          <w:i w:val="0"/>
          <w:iCs w:val="0"/>
          <w:color w:val="auto"/>
          <w:sz w:val="32"/>
          <w:szCs w:val="32"/>
          <w:shd w:val="clear" w:color="auto" w:fill="FFFFFF"/>
          <w:lang w:val="en" w:eastAsia="zh-CN" w:bidi="ar-SA"/>
        </w:rPr>
        <w:t>8 附则</w:t>
      </w:r>
    </w:p>
    <w:p w14:paraId="1583D94D">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8.1 预案解释</w:t>
      </w:r>
    </w:p>
    <w:p w14:paraId="7A9BE74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本预案由区市场监管局负责解释。</w:t>
      </w:r>
    </w:p>
    <w:p w14:paraId="36EA575D">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8.2 生效时间</w:t>
      </w:r>
    </w:p>
    <w:p w14:paraId="7FB5FBE4">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US" w:eastAsia="zh-CN" w:bidi="ar-SA"/>
        </w:rPr>
        <w:t>本预案自发布之日起施行。</w:t>
      </w:r>
    </w:p>
    <w:p w14:paraId="0569D4F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_GB2312" w:hAnsi="楷体_GB2312" w:eastAsia="楷体_GB2312" w:cs="楷体_GB2312"/>
          <w:b w:val="0"/>
          <w:bCs w:val="0"/>
          <w:i w:val="0"/>
          <w:iCs w:val="0"/>
          <w:color w:val="auto"/>
          <w:sz w:val="32"/>
          <w:szCs w:val="32"/>
          <w:shd w:val="clear" w:color="auto" w:fill="FFFFFF"/>
          <w:lang w:val="en" w:eastAsia="zh-CN" w:bidi="ar-SA"/>
        </w:rPr>
      </w:pPr>
      <w:r>
        <w:rPr>
          <w:rFonts w:hint="eastAsia" w:ascii="楷体_GB2312" w:hAnsi="楷体_GB2312" w:eastAsia="楷体_GB2312" w:cs="楷体_GB2312"/>
          <w:b w:val="0"/>
          <w:bCs w:val="0"/>
          <w:i w:val="0"/>
          <w:iCs w:val="0"/>
          <w:color w:val="auto"/>
          <w:sz w:val="32"/>
          <w:szCs w:val="32"/>
          <w:shd w:val="clear" w:color="auto" w:fill="FFFFFF"/>
          <w:lang w:val="en" w:eastAsia="zh-CN" w:bidi="ar-SA"/>
        </w:rPr>
        <w:t>8.3 名词术语解释</w:t>
      </w:r>
    </w:p>
    <w:p w14:paraId="3E91A9B2">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US" w:eastAsia="zh-CN" w:bidi="ar-SA"/>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本预案术语及含义参见</w:t>
      </w:r>
      <w:r>
        <w:rPr>
          <w:rFonts w:hint="eastAsia" w:ascii="仿宋_GB2312" w:hAnsi="仿宋_GB2312" w:eastAsia="仿宋_GB2312" w:cs="仿宋_GB2312"/>
          <w:b w:val="0"/>
          <w:bCs w:val="0"/>
          <w:i w:val="0"/>
          <w:iCs w:val="0"/>
          <w:color w:val="auto"/>
          <w:sz w:val="32"/>
          <w:szCs w:val="32"/>
          <w:shd w:val="clear" w:color="auto" w:fill="FFFFFF"/>
          <w:lang w:val="en-US" w:eastAsia="zh-CN" w:bidi="ar-SA"/>
        </w:rPr>
        <w:t>《中华人民共和国药品管理法》《中华人民共和国疫苗管理法》《医疗器械监督管理条例》《化妆品监督管理条例》等相关法律法规、规范及标准。</w:t>
      </w:r>
    </w:p>
    <w:p w14:paraId="54F5CE43">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i w:val="0"/>
          <w:iCs w:val="0"/>
          <w:color w:val="auto"/>
          <w:sz w:val="32"/>
          <w:szCs w:val="32"/>
          <w:shd w:val="clear" w:color="auto" w:fill="FFFFFF"/>
          <w:lang w:val="en" w:eastAsia="zh-CN" w:bidi="ar-SA"/>
        </w:rPr>
      </w:pPr>
      <w:r>
        <w:rPr>
          <w:rFonts w:hint="eastAsia" w:ascii="黑体" w:hAnsi="黑体" w:eastAsia="黑体" w:cs="黑体"/>
          <w:b w:val="0"/>
          <w:bCs w:val="0"/>
          <w:i w:val="0"/>
          <w:iCs w:val="0"/>
          <w:color w:val="auto"/>
          <w:sz w:val="32"/>
          <w:szCs w:val="32"/>
          <w:shd w:val="clear" w:color="auto" w:fill="FFFFFF"/>
          <w:lang w:val="en" w:eastAsia="zh-CN" w:bidi="ar-SA"/>
        </w:rPr>
        <w:t>9 附件</w:t>
      </w:r>
    </w:p>
    <w:p w14:paraId="5662CBA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9.1 药品安全突发事件分级标准</w:t>
      </w:r>
    </w:p>
    <w:p w14:paraId="13B9D626">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9.2 医疗器械安全突发事件分级标准</w:t>
      </w:r>
    </w:p>
    <w:p w14:paraId="42977573">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9.3 化妆品安全突发事件分级标准</w:t>
      </w:r>
    </w:p>
    <w:p w14:paraId="2F993CE2">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
        </w:rPr>
      </w:pPr>
      <w:r>
        <w:rPr>
          <w:rFonts w:hint="eastAsia" w:ascii="仿宋_GB2312" w:hAnsi="仿宋_GB2312" w:eastAsia="仿宋_GB2312" w:cs="仿宋_GB2312"/>
          <w:b w:val="0"/>
          <w:bCs w:val="0"/>
          <w:i w:val="0"/>
          <w:iCs w:val="0"/>
          <w:color w:val="auto"/>
          <w:sz w:val="32"/>
          <w:szCs w:val="32"/>
          <w:shd w:val="clear" w:color="auto" w:fill="FFFFFF"/>
          <w:lang w:val="en" w:eastAsia="zh-CN" w:bidi="ar"/>
        </w:rPr>
        <w:t xml:space="preserve">9.4 </w:t>
      </w:r>
      <w:r>
        <w:rPr>
          <w:rFonts w:hint="eastAsia" w:ascii="仿宋_GB2312" w:hAnsi="仿宋_GB2312" w:eastAsia="仿宋_GB2312" w:cs="仿宋_GB2312"/>
          <w:b w:val="0"/>
          <w:bCs w:val="0"/>
          <w:i w:val="0"/>
          <w:iCs w:val="0"/>
          <w:color w:val="auto"/>
          <w:sz w:val="32"/>
          <w:szCs w:val="32"/>
          <w:shd w:val="clear" w:color="auto" w:fill="FFFFFF"/>
          <w:lang w:val="en" w:eastAsia="zh-CN" w:bidi="ar-SA"/>
        </w:rPr>
        <w:t>疫苗质量安全事件分级标准</w:t>
      </w:r>
    </w:p>
    <w:p w14:paraId="32A669B2">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FFFFFF"/>
          <w:lang w:val="en" w:eastAsia="zh-CN" w:bidi="ar"/>
        </w:rPr>
      </w:pPr>
      <w:r>
        <w:rPr>
          <w:rFonts w:hint="eastAsia" w:ascii="仿宋_GB2312" w:hAnsi="仿宋_GB2312" w:eastAsia="仿宋_GB2312" w:cs="仿宋_GB2312"/>
          <w:b w:val="0"/>
          <w:bCs w:val="0"/>
          <w:i w:val="0"/>
          <w:iCs w:val="0"/>
          <w:color w:val="auto"/>
          <w:sz w:val="32"/>
          <w:szCs w:val="32"/>
          <w:shd w:val="clear" w:color="auto" w:fill="FFFFFF"/>
          <w:lang w:val="en" w:eastAsia="zh-CN" w:bidi="ar-SA"/>
        </w:rPr>
        <w:t>9.5 相关成员单位及职责</w:t>
      </w:r>
    </w:p>
    <w:p w14:paraId="684EDA5E">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小标宋简体" w:hAnsi="方正小标宋简体" w:eastAsia="方正小标宋简体" w:cs="方正小标宋简体"/>
          <w:b w:val="0"/>
          <w:bCs w:val="0"/>
          <w:i w:val="0"/>
          <w:iCs w:val="0"/>
          <w:color w:val="auto"/>
          <w:sz w:val="44"/>
          <w:szCs w:val="44"/>
          <w:lang w:val="en" w:eastAsia="zh-CN" w:bidi="ar-SA"/>
        </w:rPr>
      </w:pPr>
      <w:r>
        <w:rPr>
          <w:rFonts w:ascii="Times New Roman" w:hAnsi="Times New Roman" w:eastAsia="仿宋_GB2312" w:cs="Times New Roman"/>
          <w:b w:val="0"/>
          <w:bCs w:val="0"/>
          <w:i w:val="0"/>
          <w:iCs w:val="0"/>
          <w:color w:val="auto"/>
          <w:sz w:val="36"/>
          <w:szCs w:val="36"/>
          <w:shd w:val="clear" w:color="auto" w:fill="FFFFFF"/>
          <w:lang w:val="en" w:eastAsia="zh-CN" w:bidi="ar"/>
        </w:rPr>
        <w:br w:type="page"/>
      </w:r>
      <w:r>
        <w:rPr>
          <w:rFonts w:hint="eastAsia" w:ascii="黑体" w:hAnsi="黑体" w:eastAsia="黑体" w:cs="黑体"/>
          <w:b w:val="0"/>
          <w:bCs w:val="0"/>
          <w:i w:val="0"/>
          <w:iCs w:val="0"/>
          <w:color w:val="auto"/>
          <w:sz w:val="32"/>
          <w:szCs w:val="32"/>
          <w:lang w:val="en-US" w:eastAsia="zh-CN" w:bidi="ar-SA"/>
        </w:rPr>
        <w:t>附件</w:t>
      </w:r>
      <w:r>
        <w:rPr>
          <w:rFonts w:hint="eastAsia" w:ascii="黑体" w:hAnsi="黑体" w:eastAsia="黑体" w:cs="黑体"/>
          <w:b w:val="0"/>
          <w:bCs w:val="0"/>
          <w:i w:val="0"/>
          <w:iCs w:val="0"/>
          <w:color w:val="auto"/>
          <w:sz w:val="32"/>
          <w:szCs w:val="32"/>
          <w:lang w:val="en" w:eastAsia="zh-CN" w:bidi="ar-SA"/>
        </w:rPr>
        <w:t>1</w:t>
      </w:r>
    </w:p>
    <w:p w14:paraId="5631C07A">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小标宋简体" w:hAnsi="方正小标宋简体" w:eastAsia="方正小标宋简体" w:cs="方正小标宋简体"/>
          <w:b w:val="0"/>
          <w:bCs w:val="0"/>
          <w:i w:val="0"/>
          <w:iCs w:val="0"/>
          <w:color w:val="auto"/>
          <w:sz w:val="44"/>
          <w:szCs w:val="44"/>
          <w:lang w:val="en" w:eastAsia="zh-CN" w:bidi="ar-SA"/>
        </w:rPr>
      </w:pPr>
    </w:p>
    <w:p w14:paraId="2293F692">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val="0"/>
          <w:i w:val="0"/>
          <w:iCs w:val="0"/>
          <w:color w:val="auto"/>
          <w:sz w:val="44"/>
          <w:szCs w:val="44"/>
          <w:lang w:val="en" w:eastAsia="zh-CN" w:bidi="ar-SA"/>
        </w:rPr>
      </w:pPr>
      <w:r>
        <w:rPr>
          <w:rFonts w:hint="eastAsia" w:ascii="方正小标宋简体" w:hAnsi="方正小标宋简体" w:eastAsia="方正小标宋简体" w:cs="方正小标宋简体"/>
          <w:b w:val="0"/>
          <w:bCs w:val="0"/>
          <w:i w:val="0"/>
          <w:iCs w:val="0"/>
          <w:color w:val="auto"/>
          <w:sz w:val="44"/>
          <w:szCs w:val="44"/>
          <w:shd w:val="clear" w:color="auto" w:fill="FFFFFF"/>
          <w:lang w:val="en" w:eastAsia="zh-CN" w:bidi="ar-SA"/>
        </w:rPr>
        <w:t>药品安全突发事件分级标准</w:t>
      </w:r>
    </w:p>
    <w:p w14:paraId="3C3ADE59">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kern w:val="2"/>
          <w:sz w:val="32"/>
          <w:szCs w:val="32"/>
          <w:lang w:val="en" w:eastAsia="zh-CN" w:bidi="ar-SA"/>
        </w:rPr>
      </w:pPr>
    </w:p>
    <w:tbl>
      <w:tblPr>
        <w:tblStyle w:val="8"/>
        <w:tblW w:w="886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330"/>
        <w:gridCol w:w="7530"/>
      </w:tblGrid>
      <w:tr w14:paraId="1F0AE0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68" w:hRule="atLeast"/>
          <w:tblHeader/>
        </w:trPr>
        <w:tc>
          <w:tcPr>
            <w:tcW w:w="1330"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7FEACE8D">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事件类别</w:t>
            </w:r>
          </w:p>
        </w:tc>
        <w:tc>
          <w:tcPr>
            <w:tcW w:w="7530"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37C5A48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分　级　标　准</w:t>
            </w:r>
          </w:p>
        </w:tc>
      </w:tr>
      <w:tr w14:paraId="2E5D5A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712" w:hRule="atLeast"/>
        </w:trPr>
        <w:tc>
          <w:tcPr>
            <w:tcW w:w="1330"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79399DEF">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特别重大</w:t>
            </w:r>
          </w:p>
        </w:tc>
        <w:tc>
          <w:tcPr>
            <w:tcW w:w="7530"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60E8D174">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符合下列情形之一的与药品质量相关事件：</w:t>
            </w:r>
          </w:p>
          <w:p w14:paraId="3B60B260">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和区域内，批号相对集中的同一药品引起临床表现相似的，且罕见的或非预期的不良反应的人数超过50人（含）；或者引起特别严重不良反应（可能对人体造成永久性伤残、对器官功能造成永久性损伤或危及生命）的人数超过10人（含）；</w:t>
            </w:r>
          </w:p>
          <w:p w14:paraId="48962DC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 xml:space="preserve">同一批号药品短期内引起5人（含）以上患者死亡； </w:t>
            </w:r>
          </w:p>
          <w:p w14:paraId="3C48FA4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短期内本省及其他1个以上省（区、市）因同一药品发生重大药品安全突发事件；</w:t>
            </w:r>
          </w:p>
          <w:p w14:paraId="5059BB5A">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4.</w:t>
            </w:r>
            <w:r>
              <w:rPr>
                <w:rFonts w:hint="eastAsia" w:ascii="仿宋_GB2312" w:hAnsi="仿宋_GB2312" w:eastAsia="仿宋_GB2312" w:cs="仿宋_GB2312"/>
                <w:b w:val="0"/>
                <w:bCs w:val="0"/>
                <w:i w:val="0"/>
                <w:iCs w:val="0"/>
                <w:color w:val="auto"/>
                <w:sz w:val="32"/>
                <w:szCs w:val="32"/>
              </w:rPr>
              <w:t>其他危害特别严重的药品安全突发事件。</w:t>
            </w:r>
          </w:p>
        </w:tc>
      </w:tr>
      <w:tr w14:paraId="24C9A9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769" w:hRule="atLeast"/>
        </w:trPr>
        <w:tc>
          <w:tcPr>
            <w:tcW w:w="1330"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45AA875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重大</w:t>
            </w:r>
          </w:p>
        </w:tc>
        <w:tc>
          <w:tcPr>
            <w:tcW w:w="7530"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01F4041A">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符合下列情形之一的与药品质量相关事件：</w:t>
            </w:r>
          </w:p>
          <w:p w14:paraId="2FFCDF6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和区域内，批号相对集中的同一药品引起临床表现相似的，且罕见的或非预期的不良反应的人数超过30人（含），少于50人；或者引起特别严重不良反应（可能对人体造成永久性伤残、对器官功能造成永久性损伤或危及生命）的人数超过5人（含）；</w:t>
            </w:r>
          </w:p>
          <w:p w14:paraId="70445C7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同一批号药品短期内引起2人以上、5人以下患者死亡，且在同一区域内同时出现其他类似病例；</w:t>
            </w:r>
          </w:p>
          <w:p w14:paraId="4F06956F">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短期省内2个以上市因同一药品发生较大药品安全突发事件；</w:t>
            </w:r>
          </w:p>
          <w:p w14:paraId="59E68F26">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4.</w:t>
            </w:r>
            <w:r>
              <w:rPr>
                <w:rFonts w:hint="eastAsia" w:ascii="仿宋_GB2312" w:hAnsi="仿宋_GB2312" w:eastAsia="仿宋_GB2312" w:cs="仿宋_GB2312"/>
                <w:b w:val="0"/>
                <w:bCs w:val="0"/>
                <w:i w:val="0"/>
                <w:iCs w:val="0"/>
                <w:color w:val="auto"/>
                <w:sz w:val="32"/>
                <w:szCs w:val="32"/>
              </w:rPr>
              <w:t xml:space="preserve">其他危害严重的药品安全突发事件。 </w:t>
            </w:r>
          </w:p>
        </w:tc>
      </w:tr>
      <w:tr w14:paraId="1E5473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476" w:hRule="atLeast"/>
        </w:trPr>
        <w:tc>
          <w:tcPr>
            <w:tcW w:w="1330"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118D4651">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较大</w:t>
            </w:r>
          </w:p>
        </w:tc>
        <w:tc>
          <w:tcPr>
            <w:tcW w:w="7530"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7EE0E62E">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符合下列情形之一的与药品质量相关事件：</w:t>
            </w:r>
          </w:p>
          <w:p w14:paraId="318E8AC7">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和区域内，批号相对集中的同一药品引起临床表现相似的，且罕见的或非预期的不良反应的人数超过20人（含），少于30人；或者引起特别严重不良反应（可能对人体造成永久性伤残、对器官功能造成永久性损伤或危及生命）的人数超过3人（含）；</w:t>
            </w:r>
          </w:p>
          <w:p w14:paraId="23EE944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同一批号药品短期内引起2人（含）以下患者死亡，且在同一区域内同时出现其他类似病例；</w:t>
            </w:r>
          </w:p>
          <w:p w14:paraId="46A2ECC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短期省内1个市内2个以上县（市、区）因同一药品发生一般药品安全突发事件；</w:t>
            </w:r>
          </w:p>
          <w:p w14:paraId="65E333B6">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4.</w:t>
            </w:r>
            <w:r>
              <w:rPr>
                <w:rFonts w:hint="eastAsia" w:ascii="仿宋_GB2312" w:hAnsi="仿宋_GB2312" w:eastAsia="仿宋_GB2312" w:cs="仿宋_GB2312"/>
                <w:b w:val="0"/>
                <w:bCs w:val="0"/>
                <w:i w:val="0"/>
                <w:iCs w:val="0"/>
                <w:color w:val="auto"/>
                <w:sz w:val="32"/>
                <w:szCs w:val="32"/>
              </w:rPr>
              <w:t>其他危害较大的药品安全突发事件。</w:t>
            </w:r>
          </w:p>
        </w:tc>
      </w:tr>
      <w:tr w14:paraId="4157F2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231" w:hRule="atLeast"/>
        </w:trPr>
        <w:tc>
          <w:tcPr>
            <w:tcW w:w="1330"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0C7FAA46">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一般</w:t>
            </w:r>
          </w:p>
        </w:tc>
        <w:tc>
          <w:tcPr>
            <w:tcW w:w="7530"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68543E08">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符合下列情形之一的与药品质量相关事件：</w:t>
            </w:r>
          </w:p>
          <w:p w14:paraId="4506335A">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和区域内，批号相对集中的同一药品引起临床表现相似的，且罕见的或非预期的不良反应的人数超过10人（含），少于20人；或者引起特别严重不良反应（可能对人体造成永久性伤残、对器官功能造成永久性损伤或危及生命）的人数超过2人（含）；</w:t>
            </w:r>
          </w:p>
          <w:p w14:paraId="54F6CFF0">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其他一般药品安全突发事件。</w:t>
            </w:r>
          </w:p>
        </w:tc>
      </w:tr>
    </w:tbl>
    <w:p w14:paraId="4F61F3B5">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小标宋简体" w:hAnsi="方正小标宋简体" w:eastAsia="方正小标宋简体" w:cs="方正小标宋简体"/>
          <w:b w:val="0"/>
          <w:bCs w:val="0"/>
          <w:i w:val="0"/>
          <w:iCs w:val="0"/>
          <w:color w:val="auto"/>
          <w:sz w:val="44"/>
          <w:szCs w:val="44"/>
        </w:rPr>
      </w:pPr>
      <w:r>
        <w:rPr>
          <w:rFonts w:hint="eastAsia" w:ascii="仿宋_GB2312" w:hAnsi="仿宋_GB2312" w:eastAsia="仿宋_GB2312" w:cs="仿宋_GB2312"/>
          <w:b w:val="0"/>
          <w:bCs w:val="0"/>
          <w:i w:val="0"/>
          <w:iCs w:val="0"/>
          <w:color w:val="auto"/>
          <w:sz w:val="32"/>
          <w:szCs w:val="32"/>
        </w:rPr>
        <w:br w:type="page"/>
      </w:r>
      <w:r>
        <w:rPr>
          <w:rFonts w:hint="eastAsia" w:ascii="黑体" w:hAnsi="黑体" w:eastAsia="黑体" w:cs="黑体"/>
          <w:b w:val="0"/>
          <w:bCs w:val="0"/>
          <w:i w:val="0"/>
          <w:iCs w:val="0"/>
          <w:color w:val="auto"/>
          <w:sz w:val="32"/>
          <w:szCs w:val="32"/>
          <w:lang w:val="en-US" w:eastAsia="zh-CN" w:bidi="ar-SA"/>
        </w:rPr>
        <w:t>附件2</w:t>
      </w:r>
    </w:p>
    <w:p w14:paraId="2D271238">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小标宋简体" w:hAnsi="方正小标宋简体" w:eastAsia="方正小标宋简体" w:cs="方正小标宋简体"/>
          <w:b w:val="0"/>
          <w:bCs w:val="0"/>
          <w:i w:val="0"/>
          <w:iCs w:val="0"/>
          <w:color w:val="auto"/>
          <w:sz w:val="44"/>
          <w:szCs w:val="44"/>
          <w:lang w:val="en-US"/>
        </w:rPr>
      </w:pPr>
    </w:p>
    <w:p w14:paraId="0CE78A00">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val="0"/>
          <w:i w:val="0"/>
          <w:iCs w:val="0"/>
          <w:color w:val="auto"/>
          <w:sz w:val="44"/>
          <w:szCs w:val="44"/>
        </w:rPr>
      </w:pPr>
      <w:r>
        <w:rPr>
          <w:rFonts w:hint="eastAsia" w:ascii="方正小标宋简体" w:hAnsi="方正小标宋简体" w:eastAsia="方正小标宋简体" w:cs="方正小标宋简体"/>
          <w:b w:val="0"/>
          <w:bCs w:val="0"/>
          <w:i w:val="0"/>
          <w:iCs w:val="0"/>
          <w:color w:val="auto"/>
          <w:sz w:val="44"/>
          <w:szCs w:val="44"/>
          <w:shd w:val="clear" w:color="auto" w:fill="auto"/>
          <w:lang w:val="en-US"/>
        </w:rPr>
        <w:t>医疗器械安全突发事件分级标准</w:t>
      </w:r>
    </w:p>
    <w:p w14:paraId="78412DD4">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shd w:val="clear" w:color="auto" w:fill="auto"/>
        </w:rPr>
      </w:pPr>
    </w:p>
    <w:tbl>
      <w:tblPr>
        <w:tblStyle w:val="8"/>
        <w:tblW w:w="886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288"/>
        <w:gridCol w:w="7572"/>
      </w:tblGrid>
      <w:tr w14:paraId="2323A4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02" w:hRule="atLeast"/>
          <w:tblHeader/>
        </w:trPr>
        <w:tc>
          <w:tcPr>
            <w:tcW w:w="1288"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7AC11013">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事件类别</w:t>
            </w:r>
          </w:p>
        </w:tc>
        <w:tc>
          <w:tcPr>
            <w:tcW w:w="7572"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564AA60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分　级　标　准</w:t>
            </w:r>
          </w:p>
        </w:tc>
      </w:tr>
      <w:tr w14:paraId="57632A3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797" w:hRule="atLeast"/>
        </w:trPr>
        <w:tc>
          <w:tcPr>
            <w:tcW w:w="1288"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4EC40B1B">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特别重大</w:t>
            </w:r>
          </w:p>
        </w:tc>
        <w:tc>
          <w:tcPr>
            <w:tcW w:w="7572"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7EB544D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符合下列情形之一的与医疗器械质量相关事件：</w:t>
            </w:r>
          </w:p>
          <w:p w14:paraId="409B6A28">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和区域内，批号相对集中的同一医疗器械引起临床表现相似的，且罕见的或非预期的不良事件的人数超过50人（含）；或者引起特别严重不良事件（可能对人体造成永久性伤残、对器官功能造成永久性损伤或危及生命）的人数超过10人（含）；</w:t>
            </w:r>
          </w:p>
          <w:p w14:paraId="29734321">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 xml:space="preserve">同一批号医疗器械短期内引起5人（含）以上患者死亡； </w:t>
            </w:r>
          </w:p>
          <w:p w14:paraId="35DF518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短期内本省及其他1个以上省（区、市）因同一医疗器械发生重大医疗器械安全突发事件；</w:t>
            </w:r>
          </w:p>
          <w:p w14:paraId="596CFFE7">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4.</w:t>
            </w:r>
            <w:r>
              <w:rPr>
                <w:rFonts w:hint="eastAsia" w:ascii="仿宋_GB2312" w:hAnsi="仿宋_GB2312" w:eastAsia="仿宋_GB2312" w:cs="仿宋_GB2312"/>
                <w:b w:val="0"/>
                <w:bCs w:val="0"/>
                <w:i w:val="0"/>
                <w:iCs w:val="0"/>
                <w:color w:val="auto"/>
                <w:sz w:val="32"/>
                <w:szCs w:val="32"/>
              </w:rPr>
              <w:t>其他危害特别严重的医疗器械安全突发事件。</w:t>
            </w:r>
          </w:p>
        </w:tc>
      </w:tr>
      <w:tr w14:paraId="0798CD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034" w:hRule="atLeast"/>
        </w:trPr>
        <w:tc>
          <w:tcPr>
            <w:tcW w:w="1288"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5F79427C">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重大</w:t>
            </w:r>
          </w:p>
        </w:tc>
        <w:tc>
          <w:tcPr>
            <w:tcW w:w="7572"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5F4EB22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符合下列情形之一的与医疗器械质量相关事件：</w:t>
            </w:r>
          </w:p>
          <w:p w14:paraId="1750380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和区域内，批号相对集中的同一医疗器械引起临床表现相似的，且罕见的或非预期的不良事件的人数超过30人（含），少于50人；或者引起特别严重不良事件（可能对人体造成永久性伤残、对器官功能造成永久性损伤或危及生命）的人数超过5人（含）；</w:t>
            </w:r>
          </w:p>
          <w:p w14:paraId="3DFEAB2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同一批号医疗器械短期内引起2人以上、5人以下患者死亡，且在同一区域内同时出现其他类似病例；</w:t>
            </w:r>
          </w:p>
          <w:p w14:paraId="37E80398">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短期内本省2个以上市因同一医疗器械发生较大医疗器械安全突发事件；</w:t>
            </w:r>
          </w:p>
          <w:p w14:paraId="5B600D11">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4.</w:t>
            </w:r>
            <w:r>
              <w:rPr>
                <w:rFonts w:hint="eastAsia" w:ascii="仿宋_GB2312" w:hAnsi="仿宋_GB2312" w:eastAsia="仿宋_GB2312" w:cs="仿宋_GB2312"/>
                <w:b w:val="0"/>
                <w:bCs w:val="0"/>
                <w:i w:val="0"/>
                <w:iCs w:val="0"/>
                <w:color w:val="auto"/>
                <w:sz w:val="32"/>
                <w:szCs w:val="32"/>
              </w:rPr>
              <w:t xml:space="preserve">其他危害严重的医疗器械安全突发事件。 </w:t>
            </w:r>
          </w:p>
        </w:tc>
      </w:tr>
      <w:tr w14:paraId="0B8574F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756" w:hRule="atLeast"/>
        </w:trPr>
        <w:tc>
          <w:tcPr>
            <w:tcW w:w="1288"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49AE4FB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较大</w:t>
            </w:r>
          </w:p>
        </w:tc>
        <w:tc>
          <w:tcPr>
            <w:tcW w:w="7572"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1EAA46B0">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符合下列情形之一的与医疗器械质量相关事件：</w:t>
            </w:r>
          </w:p>
          <w:p w14:paraId="7FFFCAF1">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和区域内，批号相对集中的同一医疗器械引起临床表现相似的，且罕见的或非预期的不良事件的人数超过20人（含），少于30人；或者引起特别严重不良事件（可能对人体造成永久性伤残、对器官功能造成永久性损伤或危及生命）的人数超过3人（含）；</w:t>
            </w:r>
          </w:p>
          <w:p w14:paraId="184C521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同一批号医疗器械短期内引起2人（含）以下患者死亡，且在同一区域内同时出现其他类似病例；</w:t>
            </w:r>
          </w:p>
          <w:p w14:paraId="407C797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短期内本省1个市内2个县（市、区）因同一医疗器械发生一般安全突发事件；</w:t>
            </w:r>
          </w:p>
          <w:p w14:paraId="1288A66E">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4.</w:t>
            </w:r>
            <w:r>
              <w:rPr>
                <w:rFonts w:hint="eastAsia" w:ascii="仿宋_GB2312" w:hAnsi="仿宋_GB2312" w:eastAsia="仿宋_GB2312" w:cs="仿宋_GB2312"/>
                <w:b w:val="0"/>
                <w:bCs w:val="0"/>
                <w:i w:val="0"/>
                <w:iCs w:val="0"/>
                <w:color w:val="auto"/>
                <w:sz w:val="32"/>
                <w:szCs w:val="32"/>
              </w:rPr>
              <w:t>其他危害较大的医疗器械安全突发事件。</w:t>
            </w:r>
          </w:p>
        </w:tc>
      </w:tr>
      <w:tr w14:paraId="6ACE99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301" w:hRule="atLeast"/>
        </w:trPr>
        <w:tc>
          <w:tcPr>
            <w:tcW w:w="1288"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10557687">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一般</w:t>
            </w:r>
          </w:p>
        </w:tc>
        <w:tc>
          <w:tcPr>
            <w:tcW w:w="7572"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680D369A">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符合下列情形之一的与医疗器械质量相关事件：</w:t>
            </w:r>
          </w:p>
          <w:p w14:paraId="41F6460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和区域内，批号相对集中的同一医疗器械引起临床表现相似的，且罕见的或非预期的不良事件的人数超过10人（含），少于20人；或者引起特别严重不良事件（可能对人体造成永久性伤残、对器官功能造成永久性损伤或危及生命）的人数超过2人（含）；</w:t>
            </w:r>
          </w:p>
          <w:p w14:paraId="7456A2E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其他一般医疗器械安全突发事件。</w:t>
            </w:r>
          </w:p>
        </w:tc>
      </w:tr>
    </w:tbl>
    <w:p w14:paraId="2FDC69C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left"/>
        <w:textAlignment w:val="auto"/>
        <w:rPr>
          <w:rFonts w:hint="eastAsia" w:ascii="方正小标宋简体" w:hAnsi="方正小标宋简体" w:eastAsia="方正小标宋简体" w:cs="方正小标宋简体"/>
          <w:b w:val="0"/>
          <w:bCs w:val="0"/>
          <w:i w:val="0"/>
          <w:iCs w:val="0"/>
          <w:color w:val="auto"/>
          <w:sz w:val="44"/>
          <w:szCs w:val="44"/>
          <w:lang w:val="en-US"/>
        </w:rPr>
      </w:pPr>
      <w:r>
        <w:rPr>
          <w:rFonts w:hint="eastAsia" w:ascii="仿宋_GB2312" w:hAnsi="仿宋_GB2312" w:eastAsia="仿宋_GB2312" w:cs="仿宋_GB2312"/>
          <w:b w:val="0"/>
          <w:bCs w:val="0"/>
          <w:i w:val="0"/>
          <w:iCs w:val="0"/>
          <w:color w:val="auto"/>
          <w:sz w:val="32"/>
          <w:szCs w:val="32"/>
        </w:rPr>
        <w:br w:type="page"/>
      </w:r>
      <w:r>
        <w:rPr>
          <w:rFonts w:hint="eastAsia" w:ascii="黑体" w:hAnsi="黑体" w:eastAsia="黑体" w:cs="黑体"/>
          <w:b w:val="0"/>
          <w:bCs w:val="0"/>
          <w:i w:val="0"/>
          <w:iCs w:val="0"/>
          <w:color w:val="auto"/>
          <w:sz w:val="32"/>
          <w:szCs w:val="32"/>
          <w:lang w:val="en-US" w:eastAsia="zh-CN" w:bidi="ar-SA"/>
        </w:rPr>
        <w:t>附件3</w:t>
      </w:r>
    </w:p>
    <w:p w14:paraId="4064AE9E">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val="0"/>
          <w:i w:val="0"/>
          <w:iCs w:val="0"/>
          <w:color w:val="auto"/>
          <w:sz w:val="44"/>
          <w:szCs w:val="44"/>
        </w:rPr>
      </w:pPr>
    </w:p>
    <w:p w14:paraId="45A8E76E">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val="0"/>
          <w:i w:val="0"/>
          <w:iCs w:val="0"/>
          <w:color w:val="auto"/>
          <w:sz w:val="44"/>
          <w:szCs w:val="44"/>
        </w:rPr>
      </w:pPr>
      <w:r>
        <w:rPr>
          <w:rFonts w:hint="eastAsia" w:ascii="方正小标宋简体" w:hAnsi="方正小标宋简体" w:eastAsia="方正小标宋简体" w:cs="方正小标宋简体"/>
          <w:b w:val="0"/>
          <w:bCs w:val="0"/>
          <w:i w:val="0"/>
          <w:iCs w:val="0"/>
          <w:color w:val="auto"/>
          <w:sz w:val="44"/>
          <w:szCs w:val="44"/>
          <w:lang w:val="en-US"/>
        </w:rPr>
        <w:t>化妆品安全突发事件分级标准</w:t>
      </w:r>
    </w:p>
    <w:p w14:paraId="5D2669AA">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rPr>
      </w:pPr>
    </w:p>
    <w:tbl>
      <w:tblPr>
        <w:tblStyle w:val="8"/>
        <w:tblW w:w="886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288"/>
        <w:gridCol w:w="7572"/>
      </w:tblGrid>
      <w:tr w14:paraId="45A82AD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60" w:hRule="atLeast"/>
          <w:tblHeader/>
        </w:trPr>
        <w:tc>
          <w:tcPr>
            <w:tcW w:w="1288"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2E692EC8">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事件类别</w:t>
            </w:r>
          </w:p>
        </w:tc>
        <w:tc>
          <w:tcPr>
            <w:tcW w:w="7572"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3DFBA2E1">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分　级　标　准</w:t>
            </w:r>
          </w:p>
        </w:tc>
      </w:tr>
      <w:tr w14:paraId="649408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756" w:hRule="atLeast"/>
        </w:trPr>
        <w:tc>
          <w:tcPr>
            <w:tcW w:w="1288"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77DEA1B2">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特别重大</w:t>
            </w:r>
          </w:p>
        </w:tc>
        <w:tc>
          <w:tcPr>
            <w:tcW w:w="7572"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69A2FFF8">
            <w:pPr>
              <w:keepNext w:val="0"/>
              <w:keepLines w:val="0"/>
              <w:pageBreakBefore w:val="0"/>
              <w:kinsoku/>
              <w:wordWrap/>
              <w:overflowPunct/>
              <w:topLinePunct w:val="0"/>
              <w:autoSpaceDE/>
              <w:autoSpaceDN/>
              <w:bidi w:val="0"/>
              <w:adjustRightInd/>
              <w:snapToGrid/>
              <w:spacing w:before="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符合下列情形之一的事件：</w:t>
            </w:r>
          </w:p>
          <w:p w14:paraId="50707B52">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pacing w:val="-11"/>
                <w:sz w:val="32"/>
                <w:szCs w:val="32"/>
              </w:rPr>
              <w:t>有证据表明因使用化妆品而导致1人（含）及以上死亡的</w:t>
            </w:r>
            <w:r>
              <w:rPr>
                <w:rFonts w:hint="eastAsia" w:ascii="仿宋_GB2312" w:hAnsi="仿宋_GB2312" w:eastAsia="仿宋_GB2312" w:cs="仿宋_GB2312"/>
                <w:b w:val="0"/>
                <w:bCs w:val="0"/>
                <w:i w:val="0"/>
                <w:iCs w:val="0"/>
                <w:color w:val="auto"/>
                <w:sz w:val="32"/>
                <w:szCs w:val="32"/>
              </w:rPr>
              <w:t>；</w:t>
            </w:r>
          </w:p>
          <w:p w14:paraId="7EB122CF">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 xml:space="preserve">在相对集中的时间，因使用同一注册人、备案人的化妆品在本省和其他1个以上省（区、市）引发重大化妆品安全突发事件的； </w:t>
            </w:r>
          </w:p>
          <w:p w14:paraId="09D55441">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同一注册人、备案人的化妆品因质量安全引发舆情事件、国务院领导批示的化妆品安全突发事件。</w:t>
            </w:r>
          </w:p>
        </w:tc>
      </w:tr>
      <w:tr w14:paraId="5C7D8B6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07" w:hRule="atLeast"/>
        </w:trPr>
        <w:tc>
          <w:tcPr>
            <w:tcW w:w="1288"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064FD2C6">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重大</w:t>
            </w:r>
          </w:p>
        </w:tc>
        <w:tc>
          <w:tcPr>
            <w:tcW w:w="7572"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35A7843A">
            <w:pPr>
              <w:keepNext w:val="0"/>
              <w:keepLines w:val="0"/>
              <w:pageBreakBefore w:val="0"/>
              <w:kinsoku/>
              <w:wordWrap/>
              <w:overflowPunct/>
              <w:topLinePunct w:val="0"/>
              <w:autoSpaceDE/>
              <w:autoSpaceDN/>
              <w:bidi w:val="0"/>
              <w:adjustRightInd/>
              <w:snapToGrid/>
              <w:spacing w:before="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符合下列情形之一的事件：</w:t>
            </w:r>
          </w:p>
          <w:p w14:paraId="2E36820F">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在相对集中的时间和区域，经医疗机构确认，因使用同一品牌的化妆品而导致30例消费者产生严重不良反应、未出现死亡的；</w:t>
            </w:r>
          </w:p>
          <w:p w14:paraId="2B9A723B">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在相对集中的时间，因使用同一注册人、备案人的化妆品在本省内2个（含）以上市引发较大化妆品安全突发事件的；</w:t>
            </w:r>
          </w:p>
          <w:p w14:paraId="1E92EF8A">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同一注册人、备案人的化妆品因质量安全引发国家级媒体关注报道且引发社会广泛关注的舆情事件；</w:t>
            </w:r>
          </w:p>
          <w:p w14:paraId="3A7C2456">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4.</w:t>
            </w:r>
            <w:r>
              <w:rPr>
                <w:rFonts w:hint="eastAsia" w:ascii="仿宋_GB2312" w:hAnsi="仿宋_GB2312" w:eastAsia="仿宋_GB2312" w:cs="仿宋_GB2312"/>
                <w:b w:val="0"/>
                <w:bCs w:val="0"/>
                <w:i w:val="0"/>
                <w:iCs w:val="0"/>
                <w:color w:val="auto"/>
                <w:sz w:val="32"/>
                <w:szCs w:val="32"/>
              </w:rPr>
              <w:t xml:space="preserve">省药监局认为应采取Ⅱ应急响应措施的化妆品安全突发事件。 </w:t>
            </w:r>
          </w:p>
        </w:tc>
      </w:tr>
      <w:tr w14:paraId="156C42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259" w:hRule="atLeast"/>
        </w:trPr>
        <w:tc>
          <w:tcPr>
            <w:tcW w:w="1288"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2870B4AB">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较大</w:t>
            </w:r>
          </w:p>
        </w:tc>
        <w:tc>
          <w:tcPr>
            <w:tcW w:w="7572"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11241271">
            <w:pPr>
              <w:keepNext w:val="0"/>
              <w:keepLines w:val="0"/>
              <w:pageBreakBefore w:val="0"/>
              <w:kinsoku/>
              <w:wordWrap/>
              <w:overflowPunct/>
              <w:topLinePunct w:val="0"/>
              <w:autoSpaceDE/>
              <w:autoSpaceDN/>
              <w:bidi w:val="0"/>
              <w:adjustRightInd/>
              <w:snapToGrid/>
              <w:spacing w:before="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符合下列情形之一的事件：</w:t>
            </w:r>
          </w:p>
          <w:p w14:paraId="6A2554A4">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在相对集中的时间和区域，经医疗机构确认，因使用同一品牌的化妆品而导致20例消费者产生严重不良反应、未出现死亡的；</w:t>
            </w:r>
          </w:p>
          <w:p w14:paraId="42A3267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 xml:space="preserve">在相对集中的时间，因使用同一注册人、备案人的化妆品在本省1个市内2个以上县（市、区）引发一般化妆品安全突发事件的； </w:t>
            </w:r>
          </w:p>
          <w:p w14:paraId="10EE0F82">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 xml:space="preserve">属地监管部门认为应采取Ⅲ级应急响应措施的化妆品安全突发事件。 </w:t>
            </w:r>
          </w:p>
        </w:tc>
      </w:tr>
      <w:tr w14:paraId="53D47A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36" w:hRule="atLeast"/>
        </w:trPr>
        <w:tc>
          <w:tcPr>
            <w:tcW w:w="1288"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2F3DF23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一般</w:t>
            </w:r>
          </w:p>
        </w:tc>
        <w:tc>
          <w:tcPr>
            <w:tcW w:w="7572"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2D3C03AA">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符合下列情形之一的事件：</w:t>
            </w:r>
          </w:p>
          <w:p w14:paraId="2E294F87">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在相对集中的时间，经医疗机构确认，因使用同一品牌的化妆品在本辖区内导致10例消费者产生严重不良反应、未出现死亡的；</w:t>
            </w:r>
          </w:p>
          <w:p w14:paraId="5B8584CD">
            <w:pPr>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 xml:space="preserve">属地监管部门认为应采取Ⅳ级应急响应措施的化妆品安全突发事件。 </w:t>
            </w:r>
          </w:p>
          <w:p w14:paraId="06F3C784">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p>
        </w:tc>
      </w:tr>
    </w:tbl>
    <w:p w14:paraId="608D2A42">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小标宋简体" w:hAnsi="方正小标宋简体" w:eastAsia="方正小标宋简体" w:cs="方正小标宋简体"/>
          <w:b w:val="0"/>
          <w:bCs w:val="0"/>
          <w:i w:val="0"/>
          <w:iCs w:val="0"/>
          <w:color w:val="auto"/>
          <w:sz w:val="44"/>
          <w:szCs w:val="44"/>
          <w:lang w:val="en-US"/>
        </w:rPr>
      </w:pPr>
      <w:r>
        <w:rPr>
          <w:rFonts w:hint="eastAsia" w:ascii="仿宋_GB2312" w:hAnsi="仿宋_GB2312" w:eastAsia="仿宋_GB2312" w:cs="仿宋_GB2312"/>
          <w:b w:val="0"/>
          <w:bCs w:val="0"/>
          <w:i w:val="0"/>
          <w:iCs w:val="0"/>
          <w:color w:val="auto"/>
          <w:sz w:val="32"/>
          <w:szCs w:val="32"/>
        </w:rPr>
        <w:br w:type="page"/>
      </w:r>
      <w:r>
        <w:rPr>
          <w:rFonts w:hint="eastAsia" w:ascii="黑体" w:hAnsi="黑体" w:eastAsia="黑体" w:cs="黑体"/>
          <w:b w:val="0"/>
          <w:bCs w:val="0"/>
          <w:i w:val="0"/>
          <w:iCs w:val="0"/>
          <w:color w:val="auto"/>
          <w:sz w:val="32"/>
          <w:szCs w:val="32"/>
          <w:lang w:val="en-US" w:eastAsia="zh-CN" w:bidi="ar-SA"/>
        </w:rPr>
        <w:t>附件4</w:t>
      </w:r>
    </w:p>
    <w:p w14:paraId="3C58D869">
      <w:pPr>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b w:val="0"/>
          <w:bCs w:val="0"/>
          <w:i w:val="0"/>
          <w:iCs w:val="0"/>
          <w:color w:val="auto"/>
          <w:sz w:val="44"/>
          <w:szCs w:val="44"/>
        </w:rPr>
      </w:pPr>
    </w:p>
    <w:p w14:paraId="0B967B22">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i w:val="0"/>
          <w:iCs w:val="0"/>
          <w:color w:val="auto"/>
          <w:sz w:val="44"/>
          <w:szCs w:val="44"/>
        </w:rPr>
      </w:pPr>
      <w:r>
        <w:rPr>
          <w:rFonts w:hint="eastAsia" w:ascii="方正小标宋简体" w:hAnsi="方正小标宋简体" w:eastAsia="方正小标宋简体" w:cs="方正小标宋简体"/>
          <w:b w:val="0"/>
          <w:bCs w:val="0"/>
          <w:i w:val="0"/>
          <w:iCs w:val="0"/>
          <w:color w:val="auto"/>
          <w:sz w:val="44"/>
          <w:szCs w:val="44"/>
          <w:shd w:val="clear" w:color="auto" w:fill="auto"/>
          <w:lang w:val="en-US"/>
        </w:rPr>
        <w:t>疫苗质量安全事件分级标准</w:t>
      </w:r>
    </w:p>
    <w:p w14:paraId="1151B3F0">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shd w:val="clear" w:color="auto" w:fill="auto"/>
          <w:lang w:val="en-US"/>
        </w:rPr>
      </w:pPr>
    </w:p>
    <w:tbl>
      <w:tblPr>
        <w:tblStyle w:val="8"/>
        <w:tblW w:w="886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274"/>
        <w:gridCol w:w="7586"/>
      </w:tblGrid>
      <w:tr w14:paraId="4B0DF1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6" w:hRule="atLeast"/>
          <w:tblHeader/>
        </w:trPr>
        <w:tc>
          <w:tcPr>
            <w:tcW w:w="1274"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7D6FEF4A">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事件类别</w:t>
            </w:r>
          </w:p>
        </w:tc>
        <w:tc>
          <w:tcPr>
            <w:tcW w:w="7586"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4A9A2DA4">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分　级　标　准</w:t>
            </w:r>
          </w:p>
        </w:tc>
      </w:tr>
      <w:tr w14:paraId="7EE3D1A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755" w:hRule="atLeast"/>
        </w:trPr>
        <w:tc>
          <w:tcPr>
            <w:tcW w:w="1274"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48764DF5">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特别重大</w:t>
            </w:r>
          </w:p>
        </w:tc>
        <w:tc>
          <w:tcPr>
            <w:tcW w:w="7586"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4E3E9EA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w:t>
            </w:r>
          </w:p>
          <w:p w14:paraId="344F565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同一批号疫苗短期内引起5例以上患者死亡，疑似与质量相关的事件；</w:t>
            </w:r>
          </w:p>
          <w:p w14:paraId="4673E99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在相对集中的时间和区域内，批号相对集中的同一疫苗引起临床表现相似的，且罕见的或非预期的不良事件的人数超过20人；或者引起特别严重不良事件（可能对人体造成永久性伤残、对器官功能造成永久性损伤或危及生命）超过5人，疑似与质量相关的事件；</w:t>
            </w:r>
          </w:p>
          <w:p w14:paraId="7C43045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其他危害特别严重且引发社会影响的疫苗质量安全事件。</w:t>
            </w:r>
          </w:p>
        </w:tc>
      </w:tr>
      <w:tr w14:paraId="36487D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4" w:hRule="atLeast"/>
        </w:trPr>
        <w:tc>
          <w:tcPr>
            <w:tcW w:w="1274"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61ED3169">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重大</w:t>
            </w:r>
          </w:p>
        </w:tc>
        <w:tc>
          <w:tcPr>
            <w:tcW w:w="7586"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3D22651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 xml:space="preserve">符合下列情形之一的： </w:t>
            </w:r>
          </w:p>
          <w:p w14:paraId="76ABBA1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同一批号疫苗短期内引起2例以上、5例以下患者死亡，疑似与质量相关的事件；</w:t>
            </w:r>
          </w:p>
          <w:p w14:paraId="29386B3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在相对集中的时间和区域内，批号相对集中的同一疫苗引起临床表现相似的，且罕见的或非预期的不良事件的人数超过10人、不多于20人；或者引起特别严重不良事件（可能对人体造成永久性伤残、对器官功能造成永久性损伤或危及生命）超过3人、不多于5人，疑似与质量相关的事件；</w:t>
            </w:r>
          </w:p>
          <w:p w14:paraId="4A0D6FAA">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确认出现质量问题，涉及本省和其他１个以上省（区、市）的；</w:t>
            </w:r>
          </w:p>
          <w:p w14:paraId="7B73818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4.</w:t>
            </w:r>
            <w:r>
              <w:rPr>
                <w:rFonts w:hint="eastAsia" w:ascii="仿宋_GB2312" w:hAnsi="仿宋_GB2312" w:eastAsia="仿宋_GB2312" w:cs="仿宋_GB2312"/>
                <w:b w:val="0"/>
                <w:bCs w:val="0"/>
                <w:i w:val="0"/>
                <w:iCs w:val="0"/>
                <w:color w:val="auto"/>
                <w:sz w:val="32"/>
                <w:szCs w:val="32"/>
              </w:rPr>
              <w:t xml:space="preserve">其他危害严重且引发社会影响的疫苗质量安全事件。 </w:t>
            </w:r>
          </w:p>
        </w:tc>
      </w:tr>
      <w:tr w14:paraId="2B6111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73" w:hRule="atLeast"/>
        </w:trPr>
        <w:tc>
          <w:tcPr>
            <w:tcW w:w="1274"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564C476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较大</w:t>
            </w:r>
          </w:p>
        </w:tc>
        <w:tc>
          <w:tcPr>
            <w:tcW w:w="7586"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610605F0">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 xml:space="preserve">符合下列情形之一的： </w:t>
            </w:r>
          </w:p>
          <w:p w14:paraId="29249378">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pacing w:val="-11"/>
                <w:sz w:val="32"/>
                <w:szCs w:val="32"/>
              </w:rPr>
              <w:t>同一批号疫苗引起1例患者死亡，疑似与质量相关的事件</w:t>
            </w:r>
            <w:r>
              <w:rPr>
                <w:rFonts w:hint="eastAsia" w:ascii="仿宋_GB2312" w:hAnsi="仿宋_GB2312" w:eastAsia="仿宋_GB2312" w:cs="仿宋_GB2312"/>
                <w:b w:val="0"/>
                <w:bCs w:val="0"/>
                <w:i w:val="0"/>
                <w:iCs w:val="0"/>
                <w:color w:val="auto"/>
                <w:sz w:val="32"/>
                <w:szCs w:val="32"/>
              </w:rPr>
              <w:t>；</w:t>
            </w:r>
          </w:p>
          <w:p w14:paraId="2541F283">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在相对集中的时间和区域内，批号相对集中的同一疫苗引起临床表现相似的，且罕见或非预期的不良事件的人数超过5人、不多于10人；或者引起特别严重不良事件（可能对人体造成永久性伤残、对器官功能造成永久性损伤或危及生命）超过2人，疑似与质量相关的事件；</w:t>
            </w:r>
          </w:p>
          <w:p w14:paraId="75FEB96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3.</w:t>
            </w:r>
            <w:r>
              <w:rPr>
                <w:rFonts w:hint="eastAsia" w:ascii="仿宋_GB2312" w:hAnsi="仿宋_GB2312" w:eastAsia="仿宋_GB2312" w:cs="仿宋_GB2312"/>
                <w:b w:val="0"/>
                <w:bCs w:val="0"/>
                <w:i w:val="0"/>
                <w:iCs w:val="0"/>
                <w:color w:val="auto"/>
                <w:sz w:val="32"/>
                <w:szCs w:val="32"/>
              </w:rPr>
              <w:t>确认出现质量问题，涉及本省的；</w:t>
            </w:r>
          </w:p>
          <w:p w14:paraId="1D81AF0C">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4.</w:t>
            </w:r>
            <w:r>
              <w:rPr>
                <w:rFonts w:hint="eastAsia" w:ascii="仿宋_GB2312" w:hAnsi="仿宋_GB2312" w:eastAsia="仿宋_GB2312" w:cs="仿宋_GB2312"/>
                <w:b w:val="0"/>
                <w:bCs w:val="0"/>
                <w:i w:val="0"/>
                <w:iCs w:val="0"/>
                <w:color w:val="auto"/>
                <w:sz w:val="32"/>
                <w:szCs w:val="32"/>
              </w:rPr>
              <w:t>其他危害较大且引发社会影响局限于本省的疫苗质量安全事件。</w:t>
            </w:r>
          </w:p>
        </w:tc>
      </w:tr>
      <w:tr w14:paraId="27AF59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148" w:hRule="atLeast"/>
        </w:trPr>
        <w:tc>
          <w:tcPr>
            <w:tcW w:w="1274"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11E5A1C3">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b w:val="0"/>
                <w:bCs w:val="0"/>
                <w:i w:val="0"/>
                <w:iCs w:val="0"/>
                <w:color w:val="auto"/>
                <w:sz w:val="32"/>
                <w:szCs w:val="32"/>
                <w:lang w:val="en-US" w:eastAsia="zh-CN" w:bidi="ar-SA"/>
              </w:rPr>
            </w:pPr>
            <w:r>
              <w:rPr>
                <w:rFonts w:hint="eastAsia" w:ascii="仿宋_GB2312" w:hAnsi="仿宋_GB2312" w:eastAsia="仿宋_GB2312" w:cs="仿宋_GB2312"/>
                <w:b w:val="0"/>
                <w:bCs w:val="0"/>
                <w:i w:val="0"/>
                <w:iCs w:val="0"/>
                <w:color w:val="auto"/>
                <w:sz w:val="32"/>
                <w:szCs w:val="32"/>
                <w:lang w:val="en-US" w:eastAsia="zh-CN" w:bidi="ar-SA"/>
              </w:rPr>
              <w:t>一般</w:t>
            </w:r>
          </w:p>
        </w:tc>
        <w:tc>
          <w:tcPr>
            <w:tcW w:w="7586" w:type="dxa"/>
            <w:tcBorders>
              <w:top w:val="thickThinLargeGap" w:color="auto" w:sz="6" w:space="0"/>
              <w:left w:val="thickThinLargeGap" w:color="auto" w:sz="6" w:space="0"/>
              <w:bottom w:val="thickThinLargeGap" w:color="auto" w:sz="6" w:space="0"/>
              <w:right w:val="thickThinLargeGap" w:color="auto" w:sz="6" w:space="0"/>
            </w:tcBorders>
            <w:tcMar>
              <w:top w:w="0" w:type="dxa"/>
              <w:left w:w="0" w:type="dxa"/>
              <w:bottom w:w="0" w:type="dxa"/>
              <w:right w:w="0" w:type="dxa"/>
            </w:tcMar>
            <w:vAlign w:val="center"/>
          </w:tcPr>
          <w:p w14:paraId="1183669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符合下列情形之一的：</w:t>
            </w:r>
          </w:p>
          <w:p w14:paraId="270290D4">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1.</w:t>
            </w:r>
            <w:r>
              <w:rPr>
                <w:rFonts w:hint="eastAsia" w:ascii="仿宋_GB2312" w:hAnsi="仿宋_GB2312" w:eastAsia="仿宋_GB2312" w:cs="仿宋_GB2312"/>
                <w:b w:val="0"/>
                <w:bCs w:val="0"/>
                <w:i w:val="0"/>
                <w:iCs w:val="0"/>
                <w:color w:val="auto"/>
                <w:sz w:val="32"/>
                <w:szCs w:val="32"/>
              </w:rPr>
              <w:t>在相对集中的时间和区域内，批号相对集中的同一疫苗引起临床表现相似的，且罕见的或非预期的不良事件的人数超过3人、不多于5人；或者引起特别严重不良事件（可能对人体造成永久性伤残、对器官功能造成永久性损伤或危及生命）超过1人，疑似与质量相关的事件；</w:t>
            </w:r>
          </w:p>
          <w:p w14:paraId="3E74394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lang w:val="en"/>
              </w:rPr>
              <w:t>2.</w:t>
            </w:r>
            <w:r>
              <w:rPr>
                <w:rFonts w:hint="eastAsia" w:ascii="仿宋_GB2312" w:hAnsi="仿宋_GB2312" w:eastAsia="仿宋_GB2312" w:cs="仿宋_GB2312"/>
                <w:b w:val="0"/>
                <w:bCs w:val="0"/>
                <w:i w:val="0"/>
                <w:iCs w:val="0"/>
                <w:color w:val="auto"/>
                <w:sz w:val="32"/>
                <w:szCs w:val="32"/>
              </w:rPr>
              <w:t>其他一般疫苗质量安全事件。</w:t>
            </w:r>
          </w:p>
        </w:tc>
      </w:tr>
    </w:tbl>
    <w:p w14:paraId="0F5C7FA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小标宋简体" w:hAnsi="方正小标宋简体" w:eastAsia="方正小标宋简体" w:cs="方正小标宋简体"/>
          <w:b w:val="0"/>
          <w:bCs w:val="0"/>
          <w:i w:val="0"/>
          <w:iCs w:val="0"/>
          <w:color w:val="auto"/>
          <w:sz w:val="44"/>
          <w:szCs w:val="44"/>
          <w:lang w:val="en-US"/>
        </w:rPr>
      </w:pPr>
      <w:r>
        <w:rPr>
          <w:rFonts w:hint="eastAsia" w:ascii="仿宋_GB2312" w:hAnsi="仿宋_GB2312" w:eastAsia="仿宋_GB2312" w:cs="仿宋_GB2312"/>
          <w:b w:val="0"/>
          <w:bCs w:val="0"/>
          <w:i w:val="0"/>
          <w:iCs w:val="0"/>
          <w:color w:val="auto"/>
          <w:sz w:val="32"/>
          <w:szCs w:val="32"/>
        </w:rPr>
        <w:br w:type="page"/>
      </w:r>
      <w:r>
        <w:rPr>
          <w:rFonts w:hint="eastAsia" w:ascii="黑体" w:hAnsi="黑体" w:eastAsia="黑体" w:cs="黑体"/>
          <w:b w:val="0"/>
          <w:bCs w:val="0"/>
          <w:i w:val="0"/>
          <w:iCs w:val="0"/>
          <w:color w:val="auto"/>
          <w:sz w:val="32"/>
          <w:szCs w:val="32"/>
          <w:lang w:val="en-US" w:eastAsia="zh-CN" w:bidi="ar-SA"/>
        </w:rPr>
        <w:t>附件5</w:t>
      </w:r>
    </w:p>
    <w:p w14:paraId="3622FA13">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val="0"/>
          <w:i w:val="0"/>
          <w:iCs w:val="0"/>
          <w:color w:val="auto"/>
          <w:sz w:val="44"/>
          <w:szCs w:val="44"/>
        </w:rPr>
      </w:pPr>
    </w:p>
    <w:p w14:paraId="2E2BD553">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val="0"/>
          <w:i w:val="0"/>
          <w:iCs w:val="0"/>
          <w:color w:val="auto"/>
          <w:sz w:val="44"/>
          <w:szCs w:val="44"/>
          <w:shd w:val="clear" w:color="auto" w:fill="auto"/>
          <w:lang w:val="en-US"/>
        </w:rPr>
      </w:pPr>
      <w:r>
        <w:rPr>
          <w:rFonts w:hint="eastAsia" w:ascii="方正小标宋简体" w:hAnsi="方正小标宋简体" w:eastAsia="方正小标宋简体" w:cs="方正小标宋简体"/>
          <w:b w:val="0"/>
          <w:bCs w:val="0"/>
          <w:i w:val="0"/>
          <w:iCs w:val="0"/>
          <w:color w:val="auto"/>
          <w:sz w:val="44"/>
          <w:szCs w:val="44"/>
          <w:shd w:val="clear" w:color="auto" w:fill="auto"/>
          <w:lang w:val="en-US"/>
        </w:rPr>
        <w:t>相关成员单位及职责</w:t>
      </w:r>
    </w:p>
    <w:p w14:paraId="79BE5967">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center"/>
        <w:textAlignment w:val="auto"/>
        <w:rPr>
          <w:rFonts w:hint="eastAsia" w:ascii="仿宋_GB2312" w:hAnsi="仿宋_GB2312" w:eastAsia="仿宋_GB2312" w:cs="仿宋_GB2312"/>
          <w:b w:val="0"/>
          <w:bCs w:val="0"/>
          <w:i w:val="0"/>
          <w:iCs w:val="0"/>
          <w:color w:val="auto"/>
          <w:sz w:val="32"/>
          <w:szCs w:val="32"/>
          <w:shd w:val="clear" w:color="auto" w:fill="auto"/>
          <w:lang w:val="en-US"/>
        </w:rPr>
      </w:pPr>
    </w:p>
    <w:p w14:paraId="67DB7023">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auto"/>
          <w:lang w:val="en-US"/>
        </w:rPr>
      </w:pPr>
      <w:r>
        <w:rPr>
          <w:rFonts w:hint="eastAsia" w:ascii="仿宋_GB2312" w:hAnsi="仿宋_GB2312" w:eastAsia="仿宋_GB2312" w:cs="仿宋_GB2312"/>
          <w:b w:val="0"/>
          <w:bCs w:val="0"/>
          <w:i w:val="0"/>
          <w:iCs w:val="0"/>
          <w:color w:val="auto"/>
          <w:sz w:val="32"/>
          <w:szCs w:val="32"/>
          <w:shd w:val="clear" w:color="auto" w:fill="auto"/>
          <w:lang w:val="en-US" w:eastAsia="zh-CN"/>
        </w:rPr>
        <w:t>区</w:t>
      </w:r>
      <w:r>
        <w:rPr>
          <w:rFonts w:hint="eastAsia" w:ascii="仿宋_GB2312" w:hAnsi="仿宋_GB2312" w:eastAsia="仿宋_GB2312" w:cs="仿宋_GB2312"/>
          <w:b w:val="0"/>
          <w:bCs w:val="0"/>
          <w:i w:val="0"/>
          <w:iCs w:val="0"/>
          <w:color w:val="auto"/>
          <w:sz w:val="32"/>
          <w:szCs w:val="32"/>
          <w:shd w:val="clear" w:color="auto" w:fill="auto"/>
        </w:rPr>
        <w:t>委宣传部</w:t>
      </w:r>
      <w:r>
        <w:rPr>
          <w:rFonts w:hint="eastAsia" w:ascii="仿宋_GB2312" w:hAnsi="仿宋_GB2312" w:eastAsia="仿宋_GB2312" w:cs="仿宋_GB2312"/>
          <w:b w:val="0"/>
          <w:bCs w:val="0"/>
          <w:i w:val="0"/>
          <w:iCs w:val="0"/>
          <w:color w:val="auto"/>
          <w:sz w:val="32"/>
          <w:szCs w:val="32"/>
          <w:shd w:val="clear" w:color="auto" w:fill="auto"/>
          <w:lang w:eastAsia="zh-CN"/>
        </w:rPr>
        <w:t>（</w:t>
      </w:r>
      <w:r>
        <w:rPr>
          <w:rFonts w:hint="eastAsia" w:ascii="仿宋_GB2312" w:hAnsi="仿宋_GB2312" w:eastAsia="仿宋_GB2312" w:cs="仿宋_GB2312"/>
          <w:b w:val="0"/>
          <w:bCs w:val="0"/>
          <w:i w:val="0"/>
          <w:iCs w:val="0"/>
          <w:color w:val="auto"/>
          <w:sz w:val="32"/>
          <w:szCs w:val="32"/>
          <w:shd w:val="clear" w:color="auto" w:fill="auto"/>
        </w:rPr>
        <w:t>网信办</w:t>
      </w:r>
      <w:r>
        <w:rPr>
          <w:rFonts w:hint="eastAsia" w:ascii="仿宋_GB2312" w:hAnsi="仿宋_GB2312" w:eastAsia="仿宋_GB2312" w:cs="仿宋_GB2312"/>
          <w:b w:val="0"/>
          <w:bCs w:val="0"/>
          <w:i w:val="0"/>
          <w:iCs w:val="0"/>
          <w:color w:val="auto"/>
          <w:sz w:val="32"/>
          <w:szCs w:val="32"/>
          <w:shd w:val="clear" w:color="auto" w:fill="auto"/>
          <w:lang w:eastAsia="zh-CN"/>
        </w:rPr>
        <w:t>）</w:t>
      </w:r>
      <w:r>
        <w:rPr>
          <w:rFonts w:hint="eastAsia" w:ascii="仿宋_GB2312" w:hAnsi="仿宋_GB2312" w:eastAsia="仿宋_GB2312" w:cs="仿宋_GB2312"/>
          <w:b w:val="0"/>
          <w:bCs w:val="0"/>
          <w:i w:val="0"/>
          <w:iCs w:val="0"/>
          <w:color w:val="auto"/>
          <w:sz w:val="32"/>
          <w:szCs w:val="32"/>
        </w:rPr>
        <w:t>：依据本部门职责，加强对新闻媒体管理，负责组织药品安全突发</w:t>
      </w:r>
      <w:r>
        <w:rPr>
          <w:rFonts w:hint="eastAsia" w:ascii="仿宋_GB2312" w:hAnsi="仿宋_GB2312" w:eastAsia="仿宋_GB2312" w:cs="仿宋_GB2312"/>
          <w:b w:val="0"/>
          <w:bCs w:val="0"/>
          <w:i w:val="0"/>
          <w:iCs w:val="0"/>
          <w:color w:val="auto"/>
          <w:sz w:val="32"/>
          <w:szCs w:val="32"/>
          <w:lang w:val="en-US"/>
        </w:rPr>
        <w:t>事件</w:t>
      </w:r>
      <w:r>
        <w:rPr>
          <w:rFonts w:hint="eastAsia" w:ascii="仿宋_GB2312" w:hAnsi="仿宋_GB2312" w:eastAsia="仿宋_GB2312" w:cs="仿宋_GB2312"/>
          <w:b w:val="0"/>
          <w:bCs w:val="0"/>
          <w:i w:val="0"/>
          <w:iCs w:val="0"/>
          <w:color w:val="auto"/>
          <w:sz w:val="32"/>
          <w:szCs w:val="32"/>
        </w:rPr>
        <w:t>的宣传报道和信息发布工作；组织对涉及药品安全重大违法行为进行舆论监督，树立正确舆论导向，开展重大舆情处置等工作</w:t>
      </w:r>
      <w:r>
        <w:rPr>
          <w:rFonts w:hint="eastAsia" w:ascii="仿宋_GB2312" w:hAnsi="仿宋_GB2312" w:eastAsia="仿宋_GB2312" w:cs="仿宋_GB2312"/>
          <w:b w:val="0"/>
          <w:bCs w:val="0"/>
          <w:i w:val="0"/>
          <w:iCs w:val="0"/>
          <w:color w:val="auto"/>
          <w:sz w:val="32"/>
          <w:szCs w:val="32"/>
          <w:lang w:eastAsia="zh-CN"/>
        </w:rPr>
        <w:t>；</w:t>
      </w:r>
      <w:r>
        <w:rPr>
          <w:rFonts w:hint="eastAsia" w:ascii="仿宋_GB2312" w:hAnsi="仿宋_GB2312" w:eastAsia="仿宋_GB2312" w:cs="仿宋_GB2312"/>
          <w:b w:val="0"/>
          <w:bCs w:val="0"/>
          <w:i w:val="0"/>
          <w:iCs w:val="0"/>
          <w:color w:val="auto"/>
          <w:sz w:val="32"/>
          <w:szCs w:val="32"/>
          <w:shd w:val="clear" w:color="auto" w:fill="auto"/>
        </w:rPr>
        <w:t>领导有关部门开展涉及药品安全的重大网络舆情监测和处置，积极引导网上舆论，做好网上新闻和新媒体平台内容管理；配合</w:t>
      </w:r>
      <w:r>
        <w:rPr>
          <w:rFonts w:hint="eastAsia" w:ascii="仿宋_GB2312" w:hAnsi="仿宋_GB2312" w:eastAsia="仿宋_GB2312" w:cs="仿宋_GB2312"/>
          <w:b w:val="0"/>
          <w:bCs w:val="0"/>
          <w:i w:val="0"/>
          <w:iCs w:val="0"/>
          <w:color w:val="auto"/>
          <w:sz w:val="32"/>
          <w:szCs w:val="32"/>
          <w:shd w:val="clear" w:color="auto" w:fill="auto"/>
          <w:lang w:val="en-US" w:eastAsia="zh-CN"/>
        </w:rPr>
        <w:t>市场监管</w:t>
      </w:r>
      <w:r>
        <w:rPr>
          <w:rFonts w:hint="eastAsia" w:ascii="仿宋_GB2312" w:hAnsi="仿宋_GB2312" w:eastAsia="仿宋_GB2312" w:cs="仿宋_GB2312"/>
          <w:b w:val="0"/>
          <w:bCs w:val="0"/>
          <w:i w:val="0"/>
          <w:iCs w:val="0"/>
          <w:color w:val="auto"/>
          <w:sz w:val="32"/>
          <w:szCs w:val="32"/>
          <w:shd w:val="clear" w:color="auto" w:fill="auto"/>
        </w:rPr>
        <w:t>、公安等有关部门查处利用互联网从事涉及药品安全犯罪的行为。</w:t>
      </w:r>
    </w:p>
    <w:p w14:paraId="73877389">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shd w:val="clear" w:color="auto" w:fill="auto"/>
          <w:lang w:val="en-US" w:eastAsia="zh-CN"/>
        </w:rPr>
        <w:t>区</w:t>
      </w:r>
      <w:r>
        <w:rPr>
          <w:rFonts w:hint="eastAsia" w:ascii="仿宋_GB2312" w:hAnsi="仿宋_GB2312" w:eastAsia="仿宋_GB2312" w:cs="仿宋_GB2312"/>
          <w:b w:val="0"/>
          <w:bCs w:val="0"/>
          <w:i w:val="0"/>
          <w:iCs w:val="0"/>
          <w:color w:val="auto"/>
          <w:sz w:val="32"/>
          <w:szCs w:val="32"/>
          <w:shd w:val="clear" w:color="auto" w:fill="auto"/>
        </w:rPr>
        <w:t>教育</w:t>
      </w:r>
      <w:r>
        <w:rPr>
          <w:rFonts w:hint="eastAsia" w:ascii="仿宋_GB2312" w:hAnsi="仿宋_GB2312" w:eastAsia="仿宋_GB2312" w:cs="仿宋_GB2312"/>
          <w:b w:val="0"/>
          <w:bCs w:val="0"/>
          <w:i w:val="0"/>
          <w:iCs w:val="0"/>
          <w:color w:val="auto"/>
          <w:sz w:val="32"/>
          <w:szCs w:val="32"/>
          <w:shd w:val="clear" w:color="auto" w:fill="auto"/>
          <w:lang w:eastAsia="zh-CN"/>
        </w:rPr>
        <w:t>局</w:t>
      </w:r>
      <w:r>
        <w:rPr>
          <w:rFonts w:hint="eastAsia" w:ascii="仿宋_GB2312" w:hAnsi="仿宋_GB2312" w:eastAsia="仿宋_GB2312" w:cs="仿宋_GB2312"/>
          <w:b w:val="0"/>
          <w:bCs w:val="0"/>
          <w:i w:val="0"/>
          <w:iCs w:val="0"/>
          <w:color w:val="auto"/>
          <w:sz w:val="32"/>
          <w:szCs w:val="32"/>
          <w:shd w:val="clear" w:color="auto" w:fill="auto"/>
        </w:rPr>
        <w:t>：</w:t>
      </w:r>
      <w:r>
        <w:rPr>
          <w:rFonts w:hint="eastAsia" w:ascii="仿宋_GB2312" w:hAnsi="仿宋_GB2312" w:eastAsia="仿宋_GB2312" w:cs="仿宋_GB2312"/>
          <w:b w:val="0"/>
          <w:bCs w:val="0"/>
          <w:i w:val="0"/>
          <w:iCs w:val="0"/>
          <w:color w:val="auto"/>
          <w:sz w:val="32"/>
          <w:szCs w:val="32"/>
        </w:rPr>
        <w:t>依据本部门职责，协助处置发生在学校或托幼机构的药品安全突发</w:t>
      </w:r>
      <w:r>
        <w:rPr>
          <w:rFonts w:hint="eastAsia" w:ascii="仿宋_GB2312" w:hAnsi="仿宋_GB2312" w:eastAsia="仿宋_GB2312" w:cs="仿宋_GB2312"/>
          <w:b w:val="0"/>
          <w:bCs w:val="0"/>
          <w:i w:val="0"/>
          <w:iCs w:val="0"/>
          <w:color w:val="auto"/>
          <w:sz w:val="32"/>
          <w:szCs w:val="32"/>
          <w:lang w:val="en-US"/>
        </w:rPr>
        <w:t>事件</w:t>
      </w:r>
      <w:r>
        <w:rPr>
          <w:rFonts w:hint="eastAsia" w:ascii="仿宋_GB2312" w:hAnsi="仿宋_GB2312" w:eastAsia="仿宋_GB2312" w:cs="仿宋_GB2312"/>
          <w:b w:val="0"/>
          <w:bCs w:val="0"/>
          <w:i w:val="0"/>
          <w:iCs w:val="0"/>
          <w:color w:val="auto"/>
          <w:sz w:val="32"/>
          <w:szCs w:val="32"/>
        </w:rPr>
        <w:t>，做好在校学生、教职工的宣传教育和自我防护工作，并协助</w:t>
      </w:r>
      <w:r>
        <w:rPr>
          <w:rFonts w:hint="eastAsia" w:ascii="仿宋_GB2312" w:hAnsi="仿宋_GB2312" w:eastAsia="仿宋_GB2312" w:cs="仿宋_GB2312"/>
          <w:b w:val="0"/>
          <w:bCs w:val="0"/>
          <w:i w:val="0"/>
          <w:iCs w:val="0"/>
          <w:color w:val="auto"/>
          <w:sz w:val="32"/>
          <w:szCs w:val="32"/>
          <w:lang w:val="en-US" w:eastAsia="zh-CN"/>
        </w:rPr>
        <w:t>区市场监管局、区卫健委</w:t>
      </w:r>
      <w:r>
        <w:rPr>
          <w:rFonts w:hint="eastAsia" w:ascii="仿宋_GB2312" w:hAnsi="仿宋_GB2312" w:eastAsia="仿宋_GB2312" w:cs="仿宋_GB2312"/>
          <w:b w:val="0"/>
          <w:bCs w:val="0"/>
          <w:i w:val="0"/>
          <w:iCs w:val="0"/>
          <w:color w:val="auto"/>
          <w:sz w:val="32"/>
          <w:szCs w:val="32"/>
        </w:rPr>
        <w:t>开展事件调查。</w:t>
      </w:r>
    </w:p>
    <w:p w14:paraId="2C30A298">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rPr>
      </w:pPr>
      <w:r>
        <w:rPr>
          <w:rFonts w:hint="eastAsia" w:ascii="仿宋_GB2312" w:hAnsi="仿宋_GB2312" w:eastAsia="仿宋_GB2312" w:cs="仿宋_GB2312"/>
          <w:b w:val="0"/>
          <w:bCs w:val="0"/>
          <w:i w:val="0"/>
          <w:iCs w:val="0"/>
          <w:color w:val="auto"/>
          <w:sz w:val="32"/>
          <w:szCs w:val="32"/>
          <w:shd w:val="clear" w:color="auto" w:fill="auto"/>
          <w:lang w:val="en-US" w:eastAsia="zh-CN"/>
        </w:rPr>
        <w:t>区工</w:t>
      </w:r>
      <w:r>
        <w:rPr>
          <w:rFonts w:hint="eastAsia" w:ascii="仿宋_GB2312" w:hAnsi="仿宋_GB2312" w:eastAsia="仿宋_GB2312" w:cs="仿宋_GB2312"/>
          <w:b w:val="0"/>
          <w:bCs w:val="0"/>
          <w:i w:val="0"/>
          <w:iCs w:val="0"/>
          <w:color w:val="auto"/>
          <w:sz w:val="32"/>
          <w:szCs w:val="32"/>
          <w:shd w:val="clear" w:color="auto" w:fill="auto"/>
          <w:lang w:eastAsia="zh-CN"/>
        </w:rPr>
        <w:t>信局</w:t>
      </w:r>
      <w:r>
        <w:rPr>
          <w:rFonts w:hint="eastAsia" w:ascii="仿宋_GB2312" w:hAnsi="仿宋_GB2312" w:eastAsia="仿宋_GB2312" w:cs="仿宋_GB2312"/>
          <w:b w:val="0"/>
          <w:bCs w:val="0"/>
          <w:i w:val="0"/>
          <w:iCs w:val="0"/>
          <w:color w:val="auto"/>
          <w:sz w:val="32"/>
          <w:szCs w:val="32"/>
          <w:shd w:val="clear" w:color="auto" w:fill="auto"/>
        </w:rPr>
        <w:t>：</w:t>
      </w:r>
      <w:r>
        <w:rPr>
          <w:rFonts w:hint="eastAsia" w:ascii="仿宋_GB2312" w:hAnsi="仿宋_GB2312" w:eastAsia="仿宋_GB2312" w:cs="仿宋_GB2312"/>
          <w:b w:val="0"/>
          <w:bCs w:val="0"/>
          <w:i w:val="0"/>
          <w:iCs w:val="0"/>
          <w:color w:val="auto"/>
          <w:sz w:val="32"/>
          <w:szCs w:val="32"/>
        </w:rPr>
        <w:t>依据本部门职责，</w:t>
      </w:r>
      <w:r>
        <w:rPr>
          <w:rFonts w:hint="eastAsia" w:ascii="仿宋_GB2312" w:hAnsi="仿宋_GB2312" w:eastAsia="仿宋_GB2312" w:cs="仿宋_GB2312"/>
          <w:b w:val="0"/>
          <w:bCs w:val="0"/>
          <w:i w:val="0"/>
          <w:iCs w:val="0"/>
          <w:color w:val="auto"/>
          <w:sz w:val="32"/>
          <w:szCs w:val="32"/>
          <w:lang w:val="en-US"/>
        </w:rPr>
        <w:t>负责药品安全突发</w:t>
      </w:r>
      <w:r>
        <w:rPr>
          <w:rFonts w:hint="eastAsia" w:ascii="仿宋_GB2312" w:hAnsi="仿宋_GB2312" w:eastAsia="仿宋_GB2312" w:cs="仿宋_GB2312"/>
          <w:b w:val="0"/>
          <w:bCs w:val="0"/>
          <w:i w:val="0"/>
          <w:iCs w:val="0"/>
          <w:color w:val="auto"/>
          <w:sz w:val="32"/>
          <w:szCs w:val="32"/>
        </w:rPr>
        <w:t>事件</w:t>
      </w:r>
      <w:r>
        <w:rPr>
          <w:rFonts w:hint="eastAsia" w:ascii="仿宋_GB2312" w:hAnsi="仿宋_GB2312" w:eastAsia="仿宋_GB2312" w:cs="仿宋_GB2312"/>
          <w:b w:val="0"/>
          <w:bCs w:val="0"/>
          <w:i w:val="0"/>
          <w:iCs w:val="0"/>
          <w:color w:val="auto"/>
          <w:sz w:val="32"/>
          <w:szCs w:val="32"/>
          <w:lang w:val="en-US"/>
        </w:rPr>
        <w:t>处置所需相关产品、设备和装备的保障；做好应急药品、医疗器械储备和组织工作，保障应急供给。</w:t>
      </w:r>
    </w:p>
    <w:p w14:paraId="5D9A50F6">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shd w:val="clear" w:color="auto" w:fill="auto"/>
          <w:lang w:val="en-US" w:eastAsia="zh-CN"/>
        </w:rPr>
        <w:t>区</w:t>
      </w:r>
      <w:r>
        <w:rPr>
          <w:rFonts w:hint="eastAsia" w:ascii="仿宋_GB2312" w:hAnsi="仿宋_GB2312" w:eastAsia="仿宋_GB2312" w:cs="仿宋_GB2312"/>
          <w:b w:val="0"/>
          <w:bCs w:val="0"/>
          <w:i w:val="0"/>
          <w:iCs w:val="0"/>
          <w:color w:val="auto"/>
          <w:sz w:val="32"/>
          <w:szCs w:val="32"/>
          <w:shd w:val="clear" w:color="auto" w:fill="auto"/>
        </w:rPr>
        <w:t>民政</w:t>
      </w:r>
      <w:r>
        <w:rPr>
          <w:rFonts w:hint="eastAsia" w:ascii="仿宋_GB2312" w:hAnsi="仿宋_GB2312" w:eastAsia="仿宋_GB2312" w:cs="仿宋_GB2312"/>
          <w:b w:val="0"/>
          <w:bCs w:val="0"/>
          <w:i w:val="0"/>
          <w:iCs w:val="0"/>
          <w:color w:val="auto"/>
          <w:sz w:val="32"/>
          <w:szCs w:val="32"/>
          <w:shd w:val="clear" w:color="auto" w:fill="auto"/>
          <w:lang w:eastAsia="zh-CN"/>
        </w:rPr>
        <w:t>局</w:t>
      </w:r>
      <w:r>
        <w:rPr>
          <w:rFonts w:hint="eastAsia" w:ascii="仿宋_GB2312" w:hAnsi="仿宋_GB2312" w:eastAsia="仿宋_GB2312" w:cs="仿宋_GB2312"/>
          <w:b w:val="0"/>
          <w:bCs w:val="0"/>
          <w:i w:val="0"/>
          <w:iCs w:val="0"/>
          <w:color w:val="auto"/>
          <w:sz w:val="32"/>
          <w:szCs w:val="32"/>
          <w:shd w:val="clear" w:color="auto" w:fill="auto"/>
        </w:rPr>
        <w:t>：</w:t>
      </w:r>
      <w:r>
        <w:rPr>
          <w:rFonts w:hint="eastAsia" w:ascii="仿宋_GB2312" w:hAnsi="仿宋_GB2312" w:eastAsia="仿宋_GB2312" w:cs="仿宋_GB2312"/>
          <w:b w:val="0"/>
          <w:bCs w:val="0"/>
          <w:i w:val="0"/>
          <w:iCs w:val="0"/>
          <w:color w:val="auto"/>
          <w:sz w:val="32"/>
          <w:szCs w:val="32"/>
        </w:rPr>
        <w:t>依据本部门职责，负责药品安全突发</w:t>
      </w:r>
      <w:r>
        <w:rPr>
          <w:rFonts w:hint="eastAsia" w:ascii="仿宋_GB2312" w:hAnsi="仿宋_GB2312" w:eastAsia="仿宋_GB2312" w:cs="仿宋_GB2312"/>
          <w:b w:val="0"/>
          <w:bCs w:val="0"/>
          <w:i w:val="0"/>
          <w:iCs w:val="0"/>
          <w:color w:val="auto"/>
          <w:sz w:val="32"/>
          <w:szCs w:val="32"/>
          <w:lang w:val="en-US"/>
        </w:rPr>
        <w:t>事件</w:t>
      </w:r>
      <w:r>
        <w:rPr>
          <w:rFonts w:hint="eastAsia" w:ascii="仿宋_GB2312" w:hAnsi="仿宋_GB2312" w:eastAsia="仿宋_GB2312" w:cs="仿宋_GB2312"/>
          <w:b w:val="0"/>
          <w:bCs w:val="0"/>
          <w:i w:val="0"/>
          <w:iCs w:val="0"/>
          <w:color w:val="auto"/>
          <w:sz w:val="32"/>
          <w:szCs w:val="32"/>
        </w:rPr>
        <w:t>发生后对困难受害家庭基本生活的救助工作。</w:t>
      </w:r>
    </w:p>
    <w:p w14:paraId="576A010A">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rPr>
      </w:pPr>
      <w:r>
        <w:rPr>
          <w:rFonts w:hint="eastAsia" w:ascii="仿宋_GB2312" w:hAnsi="仿宋_GB2312" w:eastAsia="仿宋_GB2312" w:cs="仿宋_GB2312"/>
          <w:b w:val="0"/>
          <w:bCs w:val="0"/>
          <w:i w:val="0"/>
          <w:iCs w:val="0"/>
          <w:color w:val="auto"/>
          <w:sz w:val="32"/>
          <w:szCs w:val="32"/>
          <w:shd w:val="clear" w:color="auto" w:fill="auto"/>
          <w:lang w:val="en-US" w:eastAsia="zh-CN"/>
        </w:rPr>
        <w:t>区</w:t>
      </w:r>
      <w:r>
        <w:rPr>
          <w:rFonts w:hint="eastAsia" w:ascii="仿宋_GB2312" w:hAnsi="仿宋_GB2312" w:eastAsia="仿宋_GB2312" w:cs="仿宋_GB2312"/>
          <w:b w:val="0"/>
          <w:bCs w:val="0"/>
          <w:i w:val="0"/>
          <w:iCs w:val="0"/>
          <w:color w:val="auto"/>
          <w:sz w:val="32"/>
          <w:szCs w:val="32"/>
          <w:shd w:val="clear" w:color="auto" w:fill="auto"/>
          <w:lang w:val="en-US"/>
        </w:rPr>
        <w:t>财政</w:t>
      </w:r>
      <w:r>
        <w:rPr>
          <w:rFonts w:hint="eastAsia" w:ascii="仿宋_GB2312" w:hAnsi="仿宋_GB2312" w:eastAsia="仿宋_GB2312" w:cs="仿宋_GB2312"/>
          <w:b w:val="0"/>
          <w:bCs w:val="0"/>
          <w:i w:val="0"/>
          <w:iCs w:val="0"/>
          <w:color w:val="auto"/>
          <w:sz w:val="32"/>
          <w:szCs w:val="32"/>
          <w:shd w:val="clear" w:color="auto" w:fill="auto"/>
          <w:lang w:val="en-US" w:eastAsia="zh-CN"/>
        </w:rPr>
        <w:t>局</w:t>
      </w:r>
      <w:r>
        <w:rPr>
          <w:rFonts w:hint="eastAsia" w:ascii="仿宋_GB2312" w:hAnsi="仿宋_GB2312" w:eastAsia="仿宋_GB2312" w:cs="仿宋_GB2312"/>
          <w:b w:val="0"/>
          <w:bCs w:val="0"/>
          <w:i w:val="0"/>
          <w:iCs w:val="0"/>
          <w:color w:val="auto"/>
          <w:sz w:val="32"/>
          <w:szCs w:val="32"/>
          <w:shd w:val="clear" w:color="auto" w:fill="auto"/>
          <w:lang w:val="en-US"/>
        </w:rPr>
        <w:t>：</w:t>
      </w:r>
      <w:r>
        <w:rPr>
          <w:rFonts w:hint="eastAsia" w:ascii="仿宋_GB2312" w:hAnsi="仿宋_GB2312" w:eastAsia="仿宋_GB2312" w:cs="仿宋_GB2312"/>
          <w:b w:val="0"/>
          <w:bCs w:val="0"/>
          <w:i w:val="0"/>
          <w:iCs w:val="0"/>
          <w:color w:val="auto"/>
          <w:sz w:val="32"/>
          <w:szCs w:val="32"/>
        </w:rPr>
        <w:t>依据本部门职责，</w:t>
      </w:r>
      <w:r>
        <w:rPr>
          <w:rFonts w:hint="eastAsia" w:ascii="仿宋_GB2312" w:hAnsi="仿宋_GB2312" w:eastAsia="仿宋_GB2312" w:cs="仿宋_GB2312"/>
          <w:b w:val="0"/>
          <w:bCs w:val="0"/>
          <w:i w:val="0"/>
          <w:iCs w:val="0"/>
          <w:color w:val="auto"/>
          <w:sz w:val="32"/>
          <w:szCs w:val="32"/>
          <w:lang w:val="en-US"/>
        </w:rPr>
        <w:t>负责药品安全突发事件应急处置所需经费的统筹保障。</w:t>
      </w:r>
    </w:p>
    <w:p w14:paraId="0082E64A">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auto"/>
        </w:rPr>
      </w:pPr>
      <w:r>
        <w:rPr>
          <w:rFonts w:hint="eastAsia" w:ascii="仿宋_GB2312" w:hAnsi="仿宋_GB2312" w:eastAsia="仿宋_GB2312" w:cs="仿宋_GB2312"/>
          <w:b w:val="0"/>
          <w:bCs w:val="0"/>
          <w:i w:val="0"/>
          <w:iCs w:val="0"/>
          <w:color w:val="auto"/>
          <w:sz w:val="32"/>
          <w:szCs w:val="32"/>
          <w:shd w:val="clear" w:color="auto" w:fill="auto"/>
          <w:lang w:val="en-US" w:eastAsia="zh-CN"/>
        </w:rPr>
        <w:t>区住交局</w:t>
      </w:r>
      <w:r>
        <w:rPr>
          <w:rFonts w:hint="eastAsia" w:ascii="仿宋_GB2312" w:hAnsi="仿宋_GB2312" w:eastAsia="仿宋_GB2312" w:cs="仿宋_GB2312"/>
          <w:b w:val="0"/>
          <w:bCs w:val="0"/>
          <w:i w:val="0"/>
          <w:iCs w:val="0"/>
          <w:color w:val="auto"/>
          <w:sz w:val="32"/>
          <w:szCs w:val="32"/>
          <w:shd w:val="clear" w:color="auto" w:fill="auto"/>
        </w:rPr>
        <w:t>：</w:t>
      </w:r>
      <w:r>
        <w:rPr>
          <w:rFonts w:hint="eastAsia" w:ascii="仿宋_GB2312" w:hAnsi="仿宋_GB2312" w:eastAsia="仿宋_GB2312" w:cs="仿宋_GB2312"/>
          <w:b w:val="0"/>
          <w:bCs w:val="0"/>
          <w:i w:val="0"/>
          <w:iCs w:val="0"/>
          <w:color w:val="auto"/>
          <w:sz w:val="32"/>
          <w:szCs w:val="32"/>
        </w:rPr>
        <w:t>依据本部门职责，</w:t>
      </w:r>
      <w:r>
        <w:rPr>
          <w:rFonts w:hint="eastAsia" w:ascii="仿宋_GB2312" w:hAnsi="仿宋_GB2312" w:eastAsia="仿宋_GB2312" w:cs="仿宋_GB2312"/>
          <w:b w:val="0"/>
          <w:bCs w:val="0"/>
          <w:i w:val="0"/>
          <w:iCs w:val="0"/>
          <w:color w:val="auto"/>
          <w:sz w:val="32"/>
          <w:szCs w:val="32"/>
          <w:shd w:val="clear" w:color="auto" w:fill="auto"/>
        </w:rPr>
        <w:t>负责药品安全</w:t>
      </w:r>
      <w:r>
        <w:rPr>
          <w:rFonts w:hint="eastAsia" w:ascii="仿宋_GB2312" w:hAnsi="仿宋_GB2312" w:eastAsia="仿宋_GB2312" w:cs="仿宋_GB2312"/>
          <w:b w:val="0"/>
          <w:bCs w:val="0"/>
          <w:i w:val="0"/>
          <w:iCs w:val="0"/>
          <w:color w:val="auto"/>
          <w:sz w:val="32"/>
          <w:szCs w:val="32"/>
          <w:lang w:val="en-US"/>
        </w:rPr>
        <w:t>突发</w:t>
      </w:r>
      <w:r>
        <w:rPr>
          <w:rFonts w:hint="eastAsia" w:ascii="仿宋_GB2312" w:hAnsi="仿宋_GB2312" w:eastAsia="仿宋_GB2312" w:cs="仿宋_GB2312"/>
          <w:b w:val="0"/>
          <w:bCs w:val="0"/>
          <w:i w:val="0"/>
          <w:iCs w:val="0"/>
          <w:color w:val="auto"/>
          <w:sz w:val="32"/>
          <w:szCs w:val="32"/>
          <w:shd w:val="clear" w:color="auto" w:fill="auto"/>
        </w:rPr>
        <w:t>事件应急处置过程中的道路、水路等交通运力保障。</w:t>
      </w:r>
    </w:p>
    <w:p w14:paraId="2545891B">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shd w:val="clear" w:color="auto" w:fill="auto"/>
          <w:lang w:val="en-US" w:eastAsia="zh-CN"/>
        </w:rPr>
        <w:t>区</w:t>
      </w:r>
      <w:r>
        <w:rPr>
          <w:rFonts w:hint="eastAsia" w:ascii="仿宋_GB2312" w:hAnsi="仿宋_GB2312" w:eastAsia="仿宋_GB2312" w:cs="仿宋_GB2312"/>
          <w:b w:val="0"/>
          <w:bCs w:val="0"/>
          <w:i w:val="0"/>
          <w:iCs w:val="0"/>
          <w:color w:val="auto"/>
          <w:sz w:val="32"/>
          <w:szCs w:val="32"/>
          <w:shd w:val="clear" w:color="auto" w:fill="auto"/>
        </w:rPr>
        <w:t>文旅</w:t>
      </w:r>
      <w:r>
        <w:rPr>
          <w:rFonts w:hint="eastAsia" w:ascii="仿宋_GB2312" w:hAnsi="仿宋_GB2312" w:eastAsia="仿宋_GB2312" w:cs="仿宋_GB2312"/>
          <w:b w:val="0"/>
          <w:bCs w:val="0"/>
          <w:i w:val="0"/>
          <w:iCs w:val="0"/>
          <w:color w:val="auto"/>
          <w:sz w:val="32"/>
          <w:szCs w:val="32"/>
          <w:shd w:val="clear" w:color="auto" w:fill="auto"/>
          <w:lang w:val="en-US" w:eastAsia="zh-CN"/>
        </w:rPr>
        <w:t>体</w:t>
      </w:r>
      <w:r>
        <w:rPr>
          <w:rFonts w:hint="eastAsia" w:ascii="仿宋_GB2312" w:hAnsi="仿宋_GB2312" w:eastAsia="仿宋_GB2312" w:cs="仿宋_GB2312"/>
          <w:b w:val="0"/>
          <w:bCs w:val="0"/>
          <w:i w:val="0"/>
          <w:iCs w:val="0"/>
          <w:color w:val="auto"/>
          <w:sz w:val="32"/>
          <w:szCs w:val="32"/>
          <w:shd w:val="clear" w:color="auto" w:fill="auto"/>
          <w:lang w:eastAsia="zh-CN"/>
        </w:rPr>
        <w:t>局</w:t>
      </w:r>
      <w:r>
        <w:rPr>
          <w:rFonts w:hint="eastAsia" w:ascii="仿宋_GB2312" w:hAnsi="仿宋_GB2312" w:eastAsia="仿宋_GB2312" w:cs="仿宋_GB2312"/>
          <w:b w:val="0"/>
          <w:bCs w:val="0"/>
          <w:i w:val="0"/>
          <w:iCs w:val="0"/>
          <w:color w:val="auto"/>
          <w:sz w:val="32"/>
          <w:szCs w:val="32"/>
          <w:shd w:val="clear" w:color="auto" w:fill="auto"/>
        </w:rPr>
        <w:t>：</w:t>
      </w:r>
      <w:r>
        <w:rPr>
          <w:rFonts w:hint="eastAsia" w:ascii="仿宋_GB2312" w:hAnsi="仿宋_GB2312" w:eastAsia="仿宋_GB2312" w:cs="仿宋_GB2312"/>
          <w:b w:val="0"/>
          <w:bCs w:val="0"/>
          <w:i w:val="0"/>
          <w:iCs w:val="0"/>
          <w:color w:val="auto"/>
          <w:sz w:val="32"/>
          <w:szCs w:val="32"/>
        </w:rPr>
        <w:t>依据本部门职责，负责配合相关部门指导文化娱乐场所、</w:t>
      </w:r>
      <w:r>
        <w:rPr>
          <w:rFonts w:hint="eastAsia" w:ascii="仿宋_GB2312" w:hAnsi="仿宋_GB2312" w:eastAsia="仿宋_GB2312" w:cs="仿宋_GB2312"/>
          <w:b w:val="0"/>
          <w:bCs w:val="0"/>
          <w:i w:val="0"/>
          <w:iCs w:val="0"/>
          <w:color w:val="auto"/>
          <w:sz w:val="32"/>
          <w:szCs w:val="32"/>
          <w:lang w:val="en-US" w:eastAsia="zh-CN"/>
        </w:rPr>
        <w:t>A级</w:t>
      </w:r>
      <w:r>
        <w:rPr>
          <w:rFonts w:hint="eastAsia" w:ascii="仿宋_GB2312" w:hAnsi="仿宋_GB2312" w:eastAsia="仿宋_GB2312" w:cs="仿宋_GB2312"/>
          <w:b w:val="0"/>
          <w:bCs w:val="0"/>
          <w:i w:val="0"/>
          <w:iCs w:val="0"/>
          <w:color w:val="auto"/>
          <w:sz w:val="32"/>
          <w:szCs w:val="32"/>
        </w:rPr>
        <w:t>旅游景区、旅游星级饭店等人群密集场所药品安全突发</w:t>
      </w:r>
      <w:r>
        <w:rPr>
          <w:rFonts w:hint="eastAsia" w:ascii="仿宋_GB2312" w:hAnsi="仿宋_GB2312" w:eastAsia="仿宋_GB2312" w:cs="仿宋_GB2312"/>
          <w:b w:val="0"/>
          <w:bCs w:val="0"/>
          <w:i w:val="0"/>
          <w:iCs w:val="0"/>
          <w:color w:val="auto"/>
          <w:sz w:val="32"/>
          <w:szCs w:val="32"/>
          <w:lang w:val="en-US"/>
        </w:rPr>
        <w:t>事件</w:t>
      </w:r>
      <w:r>
        <w:rPr>
          <w:rFonts w:hint="eastAsia" w:ascii="仿宋_GB2312" w:hAnsi="仿宋_GB2312" w:eastAsia="仿宋_GB2312" w:cs="仿宋_GB2312"/>
          <w:b w:val="0"/>
          <w:bCs w:val="0"/>
          <w:i w:val="0"/>
          <w:iCs w:val="0"/>
          <w:color w:val="auto"/>
          <w:sz w:val="32"/>
          <w:szCs w:val="32"/>
        </w:rPr>
        <w:t>的预防、控制和处置，并协助</w:t>
      </w:r>
      <w:r>
        <w:rPr>
          <w:rFonts w:hint="eastAsia" w:ascii="仿宋_GB2312" w:hAnsi="仿宋_GB2312" w:eastAsia="仿宋_GB2312" w:cs="仿宋_GB2312"/>
          <w:b w:val="0"/>
          <w:bCs w:val="0"/>
          <w:i w:val="0"/>
          <w:iCs w:val="0"/>
          <w:color w:val="auto"/>
          <w:sz w:val="32"/>
          <w:szCs w:val="32"/>
          <w:lang w:val="en-US" w:eastAsia="zh-CN"/>
        </w:rPr>
        <w:t>区市场监管局、区卫健委</w:t>
      </w:r>
      <w:r>
        <w:rPr>
          <w:rFonts w:hint="eastAsia" w:ascii="仿宋_GB2312" w:hAnsi="仿宋_GB2312" w:eastAsia="仿宋_GB2312" w:cs="仿宋_GB2312"/>
          <w:b w:val="0"/>
          <w:bCs w:val="0"/>
          <w:i w:val="0"/>
          <w:iCs w:val="0"/>
          <w:color w:val="auto"/>
          <w:sz w:val="32"/>
          <w:szCs w:val="32"/>
        </w:rPr>
        <w:t>等部门开展事件调查。</w:t>
      </w:r>
    </w:p>
    <w:p w14:paraId="02264712">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rPr>
      </w:pPr>
      <w:r>
        <w:rPr>
          <w:rFonts w:hint="eastAsia" w:ascii="仿宋_GB2312" w:hAnsi="仿宋_GB2312" w:eastAsia="仿宋_GB2312" w:cs="仿宋_GB2312"/>
          <w:b w:val="0"/>
          <w:bCs w:val="0"/>
          <w:i w:val="0"/>
          <w:iCs w:val="0"/>
          <w:color w:val="auto"/>
          <w:sz w:val="32"/>
          <w:szCs w:val="32"/>
          <w:shd w:val="clear" w:color="auto" w:fill="auto"/>
          <w:lang w:val="en-US" w:eastAsia="zh-CN"/>
        </w:rPr>
        <w:t>区</w:t>
      </w:r>
      <w:r>
        <w:rPr>
          <w:rFonts w:hint="eastAsia" w:ascii="仿宋_GB2312" w:hAnsi="仿宋_GB2312" w:eastAsia="仿宋_GB2312" w:cs="仿宋_GB2312"/>
          <w:b w:val="0"/>
          <w:bCs w:val="0"/>
          <w:i w:val="0"/>
          <w:iCs w:val="0"/>
          <w:color w:val="auto"/>
          <w:sz w:val="32"/>
          <w:szCs w:val="32"/>
          <w:shd w:val="clear" w:color="auto" w:fill="auto"/>
        </w:rPr>
        <w:t>卫健委：</w:t>
      </w:r>
      <w:r>
        <w:rPr>
          <w:rFonts w:hint="eastAsia" w:ascii="仿宋_GB2312" w:hAnsi="仿宋_GB2312" w:eastAsia="仿宋_GB2312" w:cs="仿宋_GB2312"/>
          <w:b w:val="0"/>
          <w:bCs w:val="0"/>
          <w:i w:val="0"/>
          <w:iCs w:val="0"/>
          <w:color w:val="auto"/>
          <w:sz w:val="32"/>
          <w:szCs w:val="32"/>
        </w:rPr>
        <w:t>依据本部门职责，负责药品安全突发事件中的医疗救治工作，通报救治情况，配合</w:t>
      </w:r>
      <w:r>
        <w:rPr>
          <w:rFonts w:hint="eastAsia" w:ascii="仿宋_GB2312" w:hAnsi="仿宋_GB2312" w:eastAsia="仿宋_GB2312" w:cs="仿宋_GB2312"/>
          <w:b w:val="0"/>
          <w:bCs w:val="0"/>
          <w:i w:val="0"/>
          <w:iCs w:val="0"/>
          <w:color w:val="auto"/>
          <w:sz w:val="32"/>
          <w:szCs w:val="32"/>
          <w:lang w:val="en-US" w:eastAsia="zh-CN"/>
        </w:rPr>
        <w:t>区市场监管局</w:t>
      </w:r>
      <w:r>
        <w:rPr>
          <w:rFonts w:hint="eastAsia" w:ascii="仿宋_GB2312" w:hAnsi="仿宋_GB2312" w:eastAsia="仿宋_GB2312" w:cs="仿宋_GB2312"/>
          <w:b w:val="0"/>
          <w:bCs w:val="0"/>
          <w:i w:val="0"/>
          <w:iCs w:val="0"/>
          <w:color w:val="auto"/>
          <w:sz w:val="32"/>
          <w:szCs w:val="32"/>
        </w:rPr>
        <w:t>开展</w:t>
      </w:r>
      <w:r>
        <w:rPr>
          <w:rFonts w:hint="eastAsia" w:ascii="仿宋_GB2312" w:hAnsi="仿宋_GB2312" w:eastAsia="仿宋_GB2312" w:cs="仿宋_GB2312"/>
          <w:b w:val="0"/>
          <w:bCs w:val="0"/>
          <w:i w:val="0"/>
          <w:iCs w:val="0"/>
          <w:color w:val="auto"/>
          <w:sz w:val="32"/>
          <w:szCs w:val="32"/>
          <w:lang w:val="en-US"/>
        </w:rPr>
        <w:t>事件</w:t>
      </w:r>
      <w:r>
        <w:rPr>
          <w:rFonts w:hint="eastAsia" w:ascii="仿宋_GB2312" w:hAnsi="仿宋_GB2312" w:eastAsia="仿宋_GB2312" w:cs="仿宋_GB2312"/>
          <w:b w:val="0"/>
          <w:bCs w:val="0"/>
          <w:i w:val="0"/>
          <w:iCs w:val="0"/>
          <w:color w:val="auto"/>
          <w:sz w:val="32"/>
          <w:szCs w:val="32"/>
        </w:rPr>
        <w:t>的调查和处理；必要时，对医疗机构使用的涉事产品采取暂停使用等紧急措施；负责指导开展诊疗活动的医疗卫生、计划生育技术机构依法履行事件报告责任；</w:t>
      </w:r>
      <w:r>
        <w:rPr>
          <w:rFonts w:hint="eastAsia" w:ascii="仿宋_GB2312" w:hAnsi="仿宋_GB2312" w:eastAsia="仿宋_GB2312" w:cs="仿宋_GB2312"/>
          <w:b w:val="0"/>
          <w:bCs w:val="0"/>
          <w:i w:val="0"/>
          <w:iCs w:val="0"/>
          <w:color w:val="auto"/>
          <w:sz w:val="32"/>
          <w:szCs w:val="32"/>
          <w:lang w:val="en-US"/>
        </w:rPr>
        <w:t>加强安全用药、合理用药宣传教育，指导督促医疗机构做好不良反应（事件）监测、报告和处理工作；与</w:t>
      </w:r>
      <w:r>
        <w:rPr>
          <w:rFonts w:hint="eastAsia" w:ascii="仿宋_GB2312" w:hAnsi="仿宋_GB2312" w:eastAsia="仿宋_GB2312" w:cs="仿宋_GB2312"/>
          <w:b w:val="0"/>
          <w:bCs w:val="0"/>
          <w:i w:val="0"/>
          <w:iCs w:val="0"/>
          <w:color w:val="auto"/>
          <w:sz w:val="32"/>
          <w:szCs w:val="32"/>
          <w:lang w:val="en-US" w:eastAsia="zh-CN"/>
        </w:rPr>
        <w:t>区市场监管局</w:t>
      </w:r>
      <w:r>
        <w:rPr>
          <w:rFonts w:hint="eastAsia" w:ascii="仿宋_GB2312" w:hAnsi="仿宋_GB2312" w:eastAsia="仿宋_GB2312" w:cs="仿宋_GB2312"/>
          <w:b w:val="0"/>
          <w:bCs w:val="0"/>
          <w:i w:val="0"/>
          <w:iCs w:val="0"/>
          <w:color w:val="auto"/>
          <w:sz w:val="32"/>
          <w:szCs w:val="32"/>
          <w:lang w:val="en-US"/>
        </w:rPr>
        <w:t>建立重大不良反应（事件）相互通报机制和联合处置机制。</w:t>
      </w:r>
    </w:p>
    <w:p w14:paraId="074EF1E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lang w:val="en-US"/>
        </w:rPr>
      </w:pPr>
      <w:r>
        <w:rPr>
          <w:rFonts w:hint="eastAsia" w:ascii="仿宋_GB2312" w:hAnsi="仿宋_GB2312" w:eastAsia="仿宋_GB2312" w:cs="仿宋_GB2312"/>
          <w:b w:val="0"/>
          <w:bCs w:val="0"/>
          <w:i w:val="0"/>
          <w:iCs w:val="0"/>
          <w:color w:val="auto"/>
          <w:sz w:val="32"/>
          <w:szCs w:val="32"/>
          <w:shd w:val="clear" w:color="auto" w:fill="auto"/>
          <w:lang w:val="en-US" w:eastAsia="zh-CN"/>
        </w:rPr>
        <w:t>区</w:t>
      </w:r>
      <w:r>
        <w:rPr>
          <w:rFonts w:hint="eastAsia" w:ascii="仿宋_GB2312" w:hAnsi="仿宋_GB2312" w:eastAsia="仿宋_GB2312" w:cs="仿宋_GB2312"/>
          <w:b w:val="0"/>
          <w:bCs w:val="0"/>
          <w:i w:val="0"/>
          <w:iCs w:val="0"/>
          <w:color w:val="auto"/>
          <w:sz w:val="32"/>
          <w:szCs w:val="32"/>
          <w:shd w:val="clear" w:color="auto" w:fill="auto"/>
        </w:rPr>
        <w:t>应急</w:t>
      </w:r>
      <w:r>
        <w:rPr>
          <w:rFonts w:hint="eastAsia" w:ascii="仿宋_GB2312" w:hAnsi="仿宋_GB2312" w:eastAsia="仿宋_GB2312" w:cs="仿宋_GB2312"/>
          <w:b w:val="0"/>
          <w:bCs w:val="0"/>
          <w:i w:val="0"/>
          <w:iCs w:val="0"/>
          <w:color w:val="auto"/>
          <w:sz w:val="32"/>
          <w:szCs w:val="32"/>
          <w:shd w:val="clear" w:color="auto" w:fill="auto"/>
          <w:lang w:eastAsia="zh-CN"/>
        </w:rPr>
        <w:t>管理局</w:t>
      </w:r>
      <w:r>
        <w:rPr>
          <w:rFonts w:hint="eastAsia" w:ascii="仿宋_GB2312" w:hAnsi="仿宋_GB2312" w:eastAsia="仿宋_GB2312" w:cs="仿宋_GB2312"/>
          <w:b w:val="0"/>
          <w:bCs w:val="0"/>
          <w:i w:val="0"/>
          <w:iCs w:val="0"/>
          <w:color w:val="auto"/>
          <w:sz w:val="32"/>
          <w:szCs w:val="32"/>
          <w:shd w:val="clear" w:color="auto" w:fill="auto"/>
        </w:rPr>
        <w:t>：</w:t>
      </w:r>
      <w:r>
        <w:rPr>
          <w:rFonts w:hint="eastAsia" w:ascii="仿宋_GB2312" w:hAnsi="仿宋_GB2312" w:eastAsia="仿宋_GB2312" w:cs="仿宋_GB2312"/>
          <w:b w:val="0"/>
          <w:bCs w:val="0"/>
          <w:i w:val="0"/>
          <w:iCs w:val="0"/>
          <w:color w:val="auto"/>
          <w:sz w:val="32"/>
          <w:szCs w:val="32"/>
          <w:lang w:val="en-US"/>
        </w:rPr>
        <w:t>依据本部门职责，负责药品安全突发事件应急预案的衔接工作。</w:t>
      </w:r>
    </w:p>
    <w:p w14:paraId="2DE5AEF0">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shd w:val="clear" w:color="auto" w:fill="auto"/>
          <w:lang w:val="en-US" w:eastAsia="zh-CN"/>
        </w:rPr>
        <w:t>区</w:t>
      </w:r>
      <w:r>
        <w:rPr>
          <w:rFonts w:hint="eastAsia" w:ascii="仿宋_GB2312" w:hAnsi="仿宋_GB2312" w:eastAsia="仿宋_GB2312" w:cs="仿宋_GB2312"/>
          <w:b w:val="0"/>
          <w:bCs w:val="0"/>
          <w:i w:val="0"/>
          <w:iCs w:val="0"/>
          <w:color w:val="auto"/>
          <w:sz w:val="32"/>
          <w:szCs w:val="32"/>
          <w:shd w:val="clear" w:color="auto" w:fill="auto"/>
        </w:rPr>
        <w:t>市场监管局：</w:t>
      </w:r>
      <w:r>
        <w:rPr>
          <w:rFonts w:hint="eastAsia" w:ascii="仿宋_GB2312" w:hAnsi="仿宋_GB2312" w:eastAsia="仿宋_GB2312" w:cs="仿宋_GB2312"/>
          <w:b w:val="0"/>
          <w:bCs w:val="0"/>
          <w:i w:val="0"/>
          <w:iCs w:val="0"/>
          <w:color w:val="auto"/>
          <w:sz w:val="32"/>
          <w:szCs w:val="32"/>
        </w:rPr>
        <w:t>负责</w:t>
      </w:r>
      <w:r>
        <w:rPr>
          <w:rFonts w:hint="eastAsia" w:ascii="仿宋_GB2312" w:hAnsi="仿宋_GB2312" w:eastAsia="仿宋_GB2312" w:cs="仿宋_GB2312"/>
          <w:b w:val="0"/>
          <w:bCs w:val="0"/>
          <w:i w:val="0"/>
          <w:iCs w:val="0"/>
          <w:color w:val="auto"/>
          <w:sz w:val="32"/>
          <w:szCs w:val="32"/>
          <w:lang w:val="en-US" w:eastAsia="zh-CN"/>
        </w:rPr>
        <w:t>区</w:t>
      </w:r>
      <w:r>
        <w:rPr>
          <w:rFonts w:hint="eastAsia" w:ascii="仿宋_GB2312" w:hAnsi="仿宋_GB2312" w:eastAsia="仿宋_GB2312" w:cs="仿宋_GB2312"/>
          <w:b w:val="0"/>
          <w:bCs w:val="0"/>
          <w:i w:val="0"/>
          <w:iCs w:val="0"/>
          <w:color w:val="auto"/>
          <w:sz w:val="32"/>
          <w:szCs w:val="32"/>
        </w:rPr>
        <w:t>应急指挥部办公室日常工作</w:t>
      </w:r>
      <w:r>
        <w:rPr>
          <w:rFonts w:hint="eastAsia" w:ascii="仿宋_GB2312" w:hAnsi="仿宋_GB2312" w:eastAsia="仿宋_GB2312" w:cs="仿宋_GB2312"/>
          <w:b w:val="0"/>
          <w:bCs w:val="0"/>
          <w:i w:val="0"/>
          <w:iCs w:val="0"/>
          <w:color w:val="auto"/>
          <w:kern w:val="2"/>
          <w:sz w:val="32"/>
          <w:szCs w:val="32"/>
          <w:lang w:bidi="ar-SA"/>
        </w:rPr>
        <w:t>和突发事件处置中的综合协调工作</w:t>
      </w:r>
      <w:r>
        <w:rPr>
          <w:rFonts w:hint="eastAsia" w:ascii="仿宋_GB2312" w:hAnsi="仿宋_GB2312" w:eastAsia="仿宋_GB2312" w:cs="仿宋_GB2312"/>
          <w:b w:val="0"/>
          <w:bCs w:val="0"/>
          <w:i w:val="0"/>
          <w:iCs w:val="0"/>
          <w:color w:val="auto"/>
          <w:sz w:val="32"/>
          <w:szCs w:val="32"/>
        </w:rPr>
        <w:t>。依照本部门职责，负责组织药品安全突发事件的监督管理，及时收集有关信息，组织研判；组织开展事件调查，对疑似不安全药品及时抽样送检，组织应急处置；负责编制、修订应急预案，组建专家组，制定应急处置的有关技术方案，依法采取应急处置措施；负责组织相关应急知识的宣传和培训，并组织开展应急演练；负责落实药品安全信息统一公布制度等工作。</w:t>
      </w:r>
      <w:r>
        <w:rPr>
          <w:rFonts w:hint="eastAsia" w:ascii="仿宋_GB2312" w:hAnsi="仿宋_GB2312" w:eastAsia="仿宋_GB2312" w:cs="仿宋_GB2312"/>
          <w:b w:val="0"/>
          <w:bCs w:val="0"/>
          <w:i w:val="0"/>
          <w:iCs w:val="0"/>
          <w:color w:val="auto"/>
          <w:sz w:val="32"/>
          <w:szCs w:val="32"/>
          <w:lang w:val="en-US"/>
        </w:rPr>
        <w:t>负责维护市场秩序，加强药品广告审查和价格监管，依法查处药品、疫苗、医疗器械和化妆品流通领域不正当竞争、价格违法、广告违法等行为。</w:t>
      </w:r>
    </w:p>
    <w:p w14:paraId="314D595F">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shd w:val="clear" w:color="auto" w:fill="auto"/>
        </w:rPr>
      </w:pPr>
      <w:r>
        <w:rPr>
          <w:rFonts w:hint="eastAsia" w:ascii="仿宋_GB2312" w:hAnsi="仿宋_GB2312" w:eastAsia="仿宋_GB2312" w:cs="仿宋_GB2312"/>
          <w:b w:val="0"/>
          <w:bCs w:val="0"/>
          <w:i w:val="0"/>
          <w:iCs w:val="0"/>
          <w:color w:val="auto"/>
          <w:kern w:val="2"/>
          <w:sz w:val="32"/>
          <w:szCs w:val="32"/>
          <w:shd w:val="clear" w:color="auto" w:fill="auto"/>
          <w:lang w:val="en-US" w:eastAsia="zh-CN"/>
        </w:rPr>
        <w:t>区</w:t>
      </w:r>
      <w:r>
        <w:rPr>
          <w:rFonts w:hint="eastAsia" w:ascii="仿宋_GB2312" w:hAnsi="仿宋_GB2312" w:eastAsia="仿宋_GB2312" w:cs="仿宋_GB2312"/>
          <w:b w:val="0"/>
          <w:bCs w:val="0"/>
          <w:i w:val="0"/>
          <w:iCs w:val="0"/>
          <w:color w:val="auto"/>
          <w:kern w:val="2"/>
          <w:sz w:val="32"/>
          <w:szCs w:val="32"/>
          <w:shd w:val="clear" w:color="auto" w:fill="auto"/>
        </w:rPr>
        <w:t>信访局：</w:t>
      </w:r>
      <w:r>
        <w:rPr>
          <w:rFonts w:hint="eastAsia" w:ascii="仿宋_GB2312" w:hAnsi="仿宋_GB2312" w:eastAsia="仿宋_GB2312" w:cs="仿宋_GB2312"/>
          <w:b w:val="0"/>
          <w:bCs w:val="0"/>
          <w:i w:val="0"/>
          <w:iCs w:val="0"/>
          <w:color w:val="auto"/>
          <w:sz w:val="32"/>
          <w:szCs w:val="32"/>
        </w:rPr>
        <w:t>负责处理药品安全突发事件中发生的群众来信来访事项，协助做好社会面维稳工作。</w:t>
      </w:r>
    </w:p>
    <w:p w14:paraId="1A53D087">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shd w:val="clear" w:color="auto" w:fill="auto"/>
          <w:lang w:eastAsia="zh-CN"/>
        </w:rPr>
        <w:t>区</w:t>
      </w:r>
      <w:r>
        <w:rPr>
          <w:rFonts w:hint="eastAsia" w:ascii="仿宋_GB2312" w:hAnsi="仿宋_GB2312" w:eastAsia="仿宋_GB2312" w:cs="仿宋_GB2312"/>
          <w:b w:val="0"/>
          <w:bCs w:val="0"/>
          <w:i w:val="0"/>
          <w:iCs w:val="0"/>
          <w:color w:val="auto"/>
          <w:sz w:val="32"/>
          <w:szCs w:val="32"/>
          <w:shd w:val="clear" w:color="auto" w:fill="auto"/>
        </w:rPr>
        <w:t>公安</w:t>
      </w:r>
      <w:r>
        <w:rPr>
          <w:rFonts w:hint="eastAsia" w:ascii="仿宋_GB2312" w:hAnsi="仿宋_GB2312" w:eastAsia="仿宋_GB2312" w:cs="仿宋_GB2312"/>
          <w:b w:val="0"/>
          <w:bCs w:val="0"/>
          <w:i w:val="0"/>
          <w:iCs w:val="0"/>
          <w:color w:val="auto"/>
          <w:sz w:val="32"/>
          <w:szCs w:val="32"/>
          <w:shd w:val="clear" w:color="auto" w:fill="auto"/>
          <w:lang w:val="en-US" w:eastAsia="zh-CN"/>
        </w:rPr>
        <w:t>分</w:t>
      </w:r>
      <w:r>
        <w:rPr>
          <w:rFonts w:hint="eastAsia" w:ascii="仿宋_GB2312" w:hAnsi="仿宋_GB2312" w:eastAsia="仿宋_GB2312" w:cs="仿宋_GB2312"/>
          <w:b w:val="0"/>
          <w:bCs w:val="0"/>
          <w:i w:val="0"/>
          <w:iCs w:val="0"/>
          <w:color w:val="auto"/>
          <w:sz w:val="32"/>
          <w:szCs w:val="32"/>
          <w:shd w:val="clear" w:color="auto" w:fill="auto"/>
          <w:lang w:eastAsia="zh-CN"/>
        </w:rPr>
        <w:t>局</w:t>
      </w:r>
      <w:r>
        <w:rPr>
          <w:rFonts w:hint="eastAsia" w:ascii="仿宋_GB2312" w:hAnsi="仿宋_GB2312" w:eastAsia="仿宋_GB2312" w:cs="仿宋_GB2312"/>
          <w:b w:val="0"/>
          <w:bCs w:val="0"/>
          <w:i w:val="0"/>
          <w:iCs w:val="0"/>
          <w:color w:val="auto"/>
          <w:sz w:val="32"/>
          <w:szCs w:val="32"/>
          <w:shd w:val="clear" w:color="auto" w:fill="auto"/>
        </w:rPr>
        <w:t>：</w:t>
      </w:r>
      <w:r>
        <w:rPr>
          <w:rFonts w:hint="eastAsia" w:ascii="仿宋_GB2312" w:hAnsi="仿宋_GB2312" w:eastAsia="仿宋_GB2312" w:cs="仿宋_GB2312"/>
          <w:b w:val="0"/>
          <w:bCs w:val="0"/>
          <w:i w:val="0"/>
          <w:iCs w:val="0"/>
          <w:color w:val="auto"/>
          <w:sz w:val="32"/>
          <w:szCs w:val="32"/>
        </w:rPr>
        <w:t>依据本部门职责，负责维护药品安全突发事件处置中的治安秩序，协助做好社会面防控维稳、交通保障和事发现场保护等工作；负责组织指导涉及药品安全犯罪案件的受理、立案和</w:t>
      </w:r>
      <w:r>
        <w:rPr>
          <w:rFonts w:hint="eastAsia" w:ascii="仿宋_GB2312" w:hAnsi="仿宋_GB2312" w:eastAsia="仿宋_GB2312" w:cs="仿宋_GB2312"/>
          <w:b w:val="0"/>
          <w:bCs w:val="0"/>
          <w:i w:val="0"/>
          <w:iCs w:val="0"/>
          <w:color w:val="auto"/>
          <w:sz w:val="32"/>
          <w:szCs w:val="32"/>
          <w:lang w:val="en-US"/>
        </w:rPr>
        <w:t>查处工作</w:t>
      </w:r>
      <w:r>
        <w:rPr>
          <w:rFonts w:hint="eastAsia" w:ascii="仿宋_GB2312" w:hAnsi="仿宋_GB2312" w:eastAsia="仿宋_GB2312" w:cs="仿宋_GB2312"/>
          <w:b w:val="0"/>
          <w:bCs w:val="0"/>
          <w:i w:val="0"/>
          <w:iCs w:val="0"/>
          <w:color w:val="auto"/>
          <w:sz w:val="32"/>
          <w:szCs w:val="32"/>
        </w:rPr>
        <w:t>；对发布虚假信息、造谣滋事等违法行为依法予以调查处理；依法查处阻碍执法监管部门工作人员执行公务的违法犯罪行为。</w:t>
      </w:r>
    </w:p>
    <w:p w14:paraId="13DECD28">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shd w:val="clear" w:color="auto" w:fill="auto"/>
          <w:lang w:eastAsia="zh-CN"/>
        </w:rPr>
        <w:t>区</w:t>
      </w:r>
      <w:r>
        <w:rPr>
          <w:rFonts w:hint="eastAsia" w:ascii="仿宋_GB2312" w:hAnsi="仿宋_GB2312" w:eastAsia="仿宋_GB2312" w:cs="仿宋_GB2312"/>
          <w:b w:val="0"/>
          <w:bCs w:val="0"/>
          <w:i w:val="0"/>
          <w:iCs w:val="0"/>
          <w:color w:val="auto"/>
          <w:sz w:val="32"/>
          <w:szCs w:val="32"/>
          <w:shd w:val="clear" w:color="auto" w:fill="auto"/>
        </w:rPr>
        <w:t>医保</w:t>
      </w:r>
      <w:r>
        <w:rPr>
          <w:rFonts w:hint="eastAsia" w:ascii="仿宋_GB2312" w:hAnsi="仿宋_GB2312" w:eastAsia="仿宋_GB2312" w:cs="仿宋_GB2312"/>
          <w:b w:val="0"/>
          <w:bCs w:val="0"/>
          <w:i w:val="0"/>
          <w:iCs w:val="0"/>
          <w:color w:val="auto"/>
          <w:sz w:val="32"/>
          <w:szCs w:val="32"/>
          <w:shd w:val="clear" w:color="auto" w:fill="auto"/>
          <w:lang w:val="en-US" w:eastAsia="zh-CN"/>
        </w:rPr>
        <w:t>分</w:t>
      </w:r>
      <w:r>
        <w:rPr>
          <w:rFonts w:hint="eastAsia" w:ascii="仿宋_GB2312" w:hAnsi="仿宋_GB2312" w:eastAsia="仿宋_GB2312" w:cs="仿宋_GB2312"/>
          <w:b w:val="0"/>
          <w:bCs w:val="0"/>
          <w:i w:val="0"/>
          <w:iCs w:val="0"/>
          <w:color w:val="auto"/>
          <w:sz w:val="32"/>
          <w:szCs w:val="32"/>
          <w:shd w:val="clear" w:color="auto" w:fill="auto"/>
        </w:rPr>
        <w:t>局：</w:t>
      </w:r>
      <w:r>
        <w:rPr>
          <w:rFonts w:hint="eastAsia" w:ascii="仿宋_GB2312" w:hAnsi="仿宋_GB2312" w:eastAsia="仿宋_GB2312" w:cs="仿宋_GB2312"/>
          <w:b w:val="0"/>
          <w:bCs w:val="0"/>
          <w:i w:val="0"/>
          <w:iCs w:val="0"/>
          <w:color w:val="auto"/>
          <w:sz w:val="32"/>
          <w:szCs w:val="32"/>
        </w:rPr>
        <w:t>依据本部门职责，负责药品安全突发事件处置过程中的应急</w:t>
      </w:r>
      <w:r>
        <w:rPr>
          <w:rFonts w:hint="eastAsia" w:ascii="仿宋_GB2312" w:hAnsi="仿宋_GB2312" w:eastAsia="仿宋_GB2312" w:cs="仿宋_GB2312"/>
          <w:b w:val="0"/>
          <w:bCs w:val="0"/>
          <w:i w:val="0"/>
          <w:iCs w:val="0"/>
          <w:color w:val="auto"/>
          <w:sz w:val="32"/>
          <w:szCs w:val="32"/>
          <w:lang w:val="en-US"/>
        </w:rPr>
        <w:t>药品</w:t>
      </w:r>
      <w:r>
        <w:rPr>
          <w:rFonts w:hint="eastAsia" w:ascii="仿宋_GB2312" w:hAnsi="仿宋_GB2312" w:eastAsia="仿宋_GB2312" w:cs="仿宋_GB2312"/>
          <w:b w:val="0"/>
          <w:bCs w:val="0"/>
          <w:i w:val="0"/>
          <w:iCs w:val="0"/>
          <w:color w:val="auto"/>
          <w:sz w:val="32"/>
          <w:szCs w:val="32"/>
        </w:rPr>
        <w:t>、医疗器械等产品的招标、医保支付等工作。</w:t>
      </w:r>
    </w:p>
    <w:p w14:paraId="4E7365B4">
      <w:pPr>
        <w:keepNext w:val="0"/>
        <w:keepLines w:val="0"/>
        <w:pageBreakBefore w:val="0"/>
        <w:kinsoku/>
        <w:wordWrap/>
        <w:overflowPunct/>
        <w:topLinePunct w:val="0"/>
        <w:autoSpaceDE/>
        <w:autoSpaceDN/>
        <w:bidi w:val="0"/>
        <w:adjustRightInd/>
        <w:snapToGrid/>
        <w:spacing w:line="600" w:lineRule="exact"/>
        <w:jc w:val="both"/>
        <w:textAlignment w:val="auto"/>
        <w:rPr>
          <w:rFonts w:ascii="Calibri" w:hAnsi="Calibri" w:eastAsia="宋体" w:cs="Times New Roman"/>
          <w:b w:val="0"/>
          <w:bCs w:val="0"/>
          <w:color w:val="auto"/>
          <w:sz w:val="21"/>
          <w:szCs w:val="24"/>
        </w:rPr>
      </w:pPr>
    </w:p>
    <w:p w14:paraId="38BD2396">
      <w:pPr>
        <w:keepNext w:val="0"/>
        <w:keepLines w:val="0"/>
        <w:pageBreakBefore w:val="0"/>
        <w:kinsoku/>
        <w:wordWrap/>
        <w:overflowPunct/>
        <w:topLinePunct w:val="0"/>
        <w:autoSpaceDE/>
        <w:autoSpaceDN/>
        <w:bidi w:val="0"/>
        <w:adjustRightInd/>
        <w:snapToGrid/>
        <w:spacing w:line="600" w:lineRule="exact"/>
        <w:jc w:val="both"/>
        <w:textAlignment w:val="auto"/>
        <w:rPr>
          <w:rFonts w:ascii="Calibri" w:hAnsi="Calibri" w:eastAsia="宋体" w:cs="Times New Roman"/>
          <w:b w:val="0"/>
          <w:bCs w:val="0"/>
          <w:color w:val="auto"/>
          <w:sz w:val="21"/>
          <w:szCs w:val="24"/>
        </w:rPr>
      </w:pPr>
    </w:p>
    <w:p w14:paraId="5F902518">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left="840" w:hanging="840" w:hangingChars="300"/>
        <w:jc w:val="both"/>
        <w:textAlignment w:val="auto"/>
        <w:rPr>
          <w:rFonts w:hint="eastAsia" w:ascii="仿宋_GB2312" w:hAnsi="仿宋_GB2312" w:eastAsia="仿宋_GB2312" w:cs="仿宋_GB2312"/>
          <w:b w:val="0"/>
          <w:bCs/>
          <w:i w:val="0"/>
          <w:iCs w:val="0"/>
          <w:color w:val="auto"/>
          <w:sz w:val="28"/>
          <w:szCs w:val="28"/>
          <w:shd w:val="clear" w:color="auto" w:fill="FFFFFF"/>
          <w:lang w:val="en-US" w:eastAsia="zh-CN" w:bidi="ar-SA"/>
        </w:rPr>
      </w:pPr>
    </w:p>
    <w:p w14:paraId="7B46B792">
      <w:pPr>
        <w:spacing w:line="560" w:lineRule="exact"/>
        <w:jc w:val="both"/>
        <w:rPr>
          <w:rFonts w:hint="eastAsia" w:ascii="仿宋" w:hAnsi="仿宋" w:eastAsia="仿宋"/>
          <w:b w:val="0"/>
          <w:bCs w:val="0"/>
          <w:sz w:val="32"/>
          <w:szCs w:val="32"/>
        </w:rPr>
      </w:pPr>
    </w:p>
    <w:p w14:paraId="33AD5171">
      <w:pPr>
        <w:spacing w:line="560" w:lineRule="exact"/>
        <w:jc w:val="both"/>
        <w:rPr>
          <w:rFonts w:hint="eastAsia" w:ascii="仿宋" w:hAnsi="仿宋" w:eastAsia="仿宋"/>
          <w:b w:val="0"/>
          <w:bCs w:val="0"/>
          <w:sz w:val="32"/>
          <w:szCs w:val="32"/>
        </w:rPr>
      </w:pPr>
    </w:p>
    <w:p w14:paraId="734450C4">
      <w:pPr>
        <w:spacing w:line="560" w:lineRule="exact"/>
        <w:jc w:val="both"/>
        <w:rPr>
          <w:rFonts w:hint="eastAsia" w:ascii="仿宋" w:hAnsi="仿宋" w:eastAsia="仿宋"/>
          <w:b w:val="0"/>
          <w:bCs w:val="0"/>
          <w:sz w:val="32"/>
          <w:szCs w:val="32"/>
        </w:rPr>
      </w:pPr>
    </w:p>
    <w:p w14:paraId="07D0EB77">
      <w:pPr>
        <w:keepNext w:val="0"/>
        <w:keepLines w:val="0"/>
        <w:pageBreakBefore w:val="0"/>
        <w:widowControl w:val="0"/>
        <w:kinsoku/>
        <w:wordWrap/>
        <w:overflowPunct/>
        <w:topLinePunct w:val="0"/>
        <w:autoSpaceDE/>
        <w:autoSpaceDN/>
        <w:bidi w:val="0"/>
        <w:adjustRightInd/>
        <w:snapToGrid/>
        <w:spacing w:line="100" w:lineRule="exact"/>
        <w:jc w:val="both"/>
        <w:textAlignment w:val="auto"/>
        <w:rPr>
          <w:rFonts w:hint="eastAsia" w:ascii="仿宋_GB2312" w:hAnsi="仿宋_GB2312" w:eastAsia="仿宋_GB2312" w:cs="仿宋_GB2312"/>
          <w:b w:val="0"/>
          <w:bCs w:val="0"/>
          <w:sz w:val="28"/>
          <w:szCs w:val="28"/>
          <w:lang w:val="en-US" w:eastAsia="zh-CN"/>
        </w:rPr>
      </w:pPr>
    </w:p>
    <w:sectPr>
      <w:footerReference r:id="rId3" w:type="default"/>
      <w:pgSz w:w="11906" w:h="16838"/>
      <w:pgMar w:top="2098" w:right="1474" w:bottom="1984" w:left="1587" w:header="851" w:footer="1417" w:gutter="0"/>
      <w:pgNumType w:fmt="numberInDash"/>
      <w:cols w:space="425" w:num="1"/>
      <w:formProt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C77B3">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04F381">
                          <w:pPr>
                            <w:pStyle w:val="4"/>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fldChar w:fldCharType="begin"/>
                          </w:r>
                          <w:r>
                            <w:rPr>
                              <w:rFonts w:hint="eastAsia" w:asciiTheme="minorEastAsia" w:hAnsiTheme="minorEastAsia" w:eastAsiaTheme="minorEastAsia" w:cstheme="minorEastAsia"/>
                              <w:b w:val="0"/>
                              <w:bCs w:val="0"/>
                              <w:sz w:val="28"/>
                              <w:szCs w:val="28"/>
                            </w:rPr>
                            <w:instrText xml:space="preserve"> PAGE  \* MERGEFORMAT </w:instrText>
                          </w:r>
                          <w:r>
                            <w:rPr>
                              <w:rFonts w:hint="eastAsia" w:asciiTheme="minorEastAsia" w:hAnsiTheme="minorEastAsia" w:eastAsiaTheme="minorEastAsia" w:cstheme="minorEastAsia"/>
                              <w:b w:val="0"/>
                              <w:bCs w:val="0"/>
                              <w:sz w:val="28"/>
                              <w:szCs w:val="28"/>
                            </w:rPr>
                            <w:fldChar w:fldCharType="separate"/>
                          </w:r>
                          <w:r>
                            <w:rPr>
                              <w:rFonts w:hint="eastAsia" w:asciiTheme="minorEastAsia" w:hAnsiTheme="minorEastAsia" w:eastAsiaTheme="minorEastAsia" w:cstheme="minorEastAsia"/>
                              <w:b w:val="0"/>
                              <w:bCs w:val="0"/>
                              <w:sz w:val="28"/>
                              <w:szCs w:val="28"/>
                            </w:rPr>
                            <w:t>1</w:t>
                          </w:r>
                          <w:r>
                            <w:rPr>
                              <w:rFonts w:hint="eastAsia" w:asciiTheme="minorEastAsia" w:hAnsiTheme="minorEastAsia" w:eastAsiaTheme="minorEastAsia" w:cstheme="minorEastAsia"/>
                              <w:b w:val="0"/>
                              <w:bCs w:val="0"/>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B04F381">
                    <w:pPr>
                      <w:pStyle w:val="4"/>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fldChar w:fldCharType="begin"/>
                    </w:r>
                    <w:r>
                      <w:rPr>
                        <w:rFonts w:hint="eastAsia" w:asciiTheme="minorEastAsia" w:hAnsiTheme="minorEastAsia" w:eastAsiaTheme="minorEastAsia" w:cstheme="minorEastAsia"/>
                        <w:b w:val="0"/>
                        <w:bCs w:val="0"/>
                        <w:sz w:val="28"/>
                        <w:szCs w:val="28"/>
                      </w:rPr>
                      <w:instrText xml:space="preserve"> PAGE  \* MERGEFORMAT </w:instrText>
                    </w:r>
                    <w:r>
                      <w:rPr>
                        <w:rFonts w:hint="eastAsia" w:asciiTheme="minorEastAsia" w:hAnsiTheme="minorEastAsia" w:eastAsiaTheme="minorEastAsia" w:cstheme="minorEastAsia"/>
                        <w:b w:val="0"/>
                        <w:bCs w:val="0"/>
                        <w:sz w:val="28"/>
                        <w:szCs w:val="28"/>
                      </w:rPr>
                      <w:fldChar w:fldCharType="separate"/>
                    </w:r>
                    <w:r>
                      <w:rPr>
                        <w:rFonts w:hint="eastAsia" w:asciiTheme="minorEastAsia" w:hAnsiTheme="minorEastAsia" w:eastAsiaTheme="minorEastAsia" w:cstheme="minorEastAsia"/>
                        <w:b w:val="0"/>
                        <w:bCs w:val="0"/>
                        <w:sz w:val="28"/>
                        <w:szCs w:val="28"/>
                      </w:rPr>
                      <w:t>1</w:t>
                    </w:r>
                    <w:r>
                      <w:rPr>
                        <w:rFonts w:hint="eastAsia" w:asciiTheme="minorEastAsia" w:hAnsiTheme="minorEastAsia" w:eastAsiaTheme="minorEastAsia" w:cstheme="minorEastAsia"/>
                        <w:b w:val="0"/>
                        <w:bCs w:val="0"/>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E1A778">
                          <w:pPr>
                            <w:pStyle w:val="4"/>
                          </w:pP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1Y7S7LAQAAnAMAAA4AAAAAAAAAAQAgAAAAHgEAAGRycy9lMm9E&#10;b2MueG1sUEsFBgAAAAAGAAYAWQEAAFsFAAAAAA==&#10;">
              <v:fill on="f" focussize="0,0"/>
              <v:stroke on="f"/>
              <v:imagedata o:title=""/>
              <o:lock v:ext="edit" aspectratio="f"/>
              <v:textbox inset="0mm,0mm,0mm,0mm" style="mso-fit-shape-to-text:t;">
                <w:txbxContent>
                  <w:p w14:paraId="01E1A778">
                    <w:pPr>
                      <w:pStyle w:val="4"/>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comments"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718526500005D4C" w:val=" "/>
    <w:docVar w:name="671F3D1900002BB5" w:val=" "/>
    <w:docVar w:name="676369300000CF44" w:val=" "/>
    <w:docVar w:name="676B7BF200001BF3" w:val=" "/>
    <w:docVar w:name="commondata" w:val="eyJoZGlkIjoiNTlkM2YwMDU0ZDQ5MjdiZWM5YjQ5NjY2ODFkOWIzN2UifQ=="/>
    <w:docVar w:name="DocGlobalSDABB" w:val="nlYF5jk8ExANT6x+jKpxJR/Yevma/PX3QPhsBsdWMQkyGMlCdZvJrl9KmGE1n3Oiv1S8mIHtE91Wn+SQYKQlaLCf5JBgpCVosJ/kkGCkJWiwn+SQYKQlaLCf5JBgpCVosJ/kkGCkJWiwn+SQYKQlaLCf5JBgpCVosJ/kkGCkJWiwn+SQYKQlaLCf5JBgpCVosJ/kkGCkJWiwAAAAAA=="/>
  </w:docVars>
  <w:rsids>
    <w:rsidRoot w:val="00E87A48"/>
    <w:rsid w:val="00005402"/>
    <w:rsid w:val="00072CB1"/>
    <w:rsid w:val="00072D56"/>
    <w:rsid w:val="000A272E"/>
    <w:rsid w:val="000F34AD"/>
    <w:rsid w:val="001067A2"/>
    <w:rsid w:val="00132BB6"/>
    <w:rsid w:val="001644C4"/>
    <w:rsid w:val="001B4C0D"/>
    <w:rsid w:val="002507FE"/>
    <w:rsid w:val="00251650"/>
    <w:rsid w:val="0026418F"/>
    <w:rsid w:val="002657C0"/>
    <w:rsid w:val="002E1A09"/>
    <w:rsid w:val="002E3F8A"/>
    <w:rsid w:val="00365ABB"/>
    <w:rsid w:val="00367206"/>
    <w:rsid w:val="00393AAE"/>
    <w:rsid w:val="003A480A"/>
    <w:rsid w:val="003A62D8"/>
    <w:rsid w:val="003D003D"/>
    <w:rsid w:val="004230E7"/>
    <w:rsid w:val="004312BB"/>
    <w:rsid w:val="0045349D"/>
    <w:rsid w:val="0046311A"/>
    <w:rsid w:val="0048605D"/>
    <w:rsid w:val="00491AF3"/>
    <w:rsid w:val="004B7098"/>
    <w:rsid w:val="00515D89"/>
    <w:rsid w:val="00522DF2"/>
    <w:rsid w:val="005312E5"/>
    <w:rsid w:val="00550E5F"/>
    <w:rsid w:val="005C4587"/>
    <w:rsid w:val="005D67BE"/>
    <w:rsid w:val="006409A3"/>
    <w:rsid w:val="006477DB"/>
    <w:rsid w:val="006724ED"/>
    <w:rsid w:val="0069309E"/>
    <w:rsid w:val="00693EAE"/>
    <w:rsid w:val="006D5BDE"/>
    <w:rsid w:val="00706F9F"/>
    <w:rsid w:val="007226BA"/>
    <w:rsid w:val="007341FE"/>
    <w:rsid w:val="00776149"/>
    <w:rsid w:val="007C4F18"/>
    <w:rsid w:val="0082592D"/>
    <w:rsid w:val="00833F61"/>
    <w:rsid w:val="0085151B"/>
    <w:rsid w:val="00893234"/>
    <w:rsid w:val="008A6EF3"/>
    <w:rsid w:val="008F254B"/>
    <w:rsid w:val="0094231C"/>
    <w:rsid w:val="00942C94"/>
    <w:rsid w:val="00961447"/>
    <w:rsid w:val="009B3200"/>
    <w:rsid w:val="009D640B"/>
    <w:rsid w:val="00A2584F"/>
    <w:rsid w:val="00A30044"/>
    <w:rsid w:val="00A725F4"/>
    <w:rsid w:val="00A9531E"/>
    <w:rsid w:val="00AD2C33"/>
    <w:rsid w:val="00AE0C0A"/>
    <w:rsid w:val="00AF1B6B"/>
    <w:rsid w:val="00AF4FC2"/>
    <w:rsid w:val="00B64DC0"/>
    <w:rsid w:val="00B721FC"/>
    <w:rsid w:val="00B73485"/>
    <w:rsid w:val="00B7450F"/>
    <w:rsid w:val="00B91682"/>
    <w:rsid w:val="00BE076C"/>
    <w:rsid w:val="00BE7797"/>
    <w:rsid w:val="00C047B9"/>
    <w:rsid w:val="00C10966"/>
    <w:rsid w:val="00C3206F"/>
    <w:rsid w:val="00C4742A"/>
    <w:rsid w:val="00C776C0"/>
    <w:rsid w:val="00C82465"/>
    <w:rsid w:val="00C85DBF"/>
    <w:rsid w:val="00C87BDF"/>
    <w:rsid w:val="00D12253"/>
    <w:rsid w:val="00D32F0B"/>
    <w:rsid w:val="00D557F2"/>
    <w:rsid w:val="00DE1D5C"/>
    <w:rsid w:val="00DE36A2"/>
    <w:rsid w:val="00DF26B1"/>
    <w:rsid w:val="00E01706"/>
    <w:rsid w:val="00E351EC"/>
    <w:rsid w:val="00E40EB6"/>
    <w:rsid w:val="00E46F46"/>
    <w:rsid w:val="00E749D9"/>
    <w:rsid w:val="00E74F09"/>
    <w:rsid w:val="00E80228"/>
    <w:rsid w:val="00E87A48"/>
    <w:rsid w:val="00EE6E1E"/>
    <w:rsid w:val="00F230B2"/>
    <w:rsid w:val="00F34231"/>
    <w:rsid w:val="00F55DB0"/>
    <w:rsid w:val="00F75F1F"/>
    <w:rsid w:val="00F96565"/>
    <w:rsid w:val="00FA7C5D"/>
    <w:rsid w:val="00FC75BB"/>
    <w:rsid w:val="011C42EA"/>
    <w:rsid w:val="01510518"/>
    <w:rsid w:val="016E3E86"/>
    <w:rsid w:val="01A71FD9"/>
    <w:rsid w:val="01A93CDB"/>
    <w:rsid w:val="0259036C"/>
    <w:rsid w:val="028B18FB"/>
    <w:rsid w:val="02C54856"/>
    <w:rsid w:val="03172B34"/>
    <w:rsid w:val="0319056F"/>
    <w:rsid w:val="03884EA3"/>
    <w:rsid w:val="04CE3D21"/>
    <w:rsid w:val="05041908"/>
    <w:rsid w:val="050B287F"/>
    <w:rsid w:val="05353307"/>
    <w:rsid w:val="055A7363"/>
    <w:rsid w:val="058B1A01"/>
    <w:rsid w:val="05A459AA"/>
    <w:rsid w:val="05D93BC7"/>
    <w:rsid w:val="05F60D78"/>
    <w:rsid w:val="069B7C33"/>
    <w:rsid w:val="06ED4B7D"/>
    <w:rsid w:val="076646E5"/>
    <w:rsid w:val="076A527D"/>
    <w:rsid w:val="078B414B"/>
    <w:rsid w:val="07967398"/>
    <w:rsid w:val="07CA07CF"/>
    <w:rsid w:val="07DD2A91"/>
    <w:rsid w:val="083E22EA"/>
    <w:rsid w:val="08964B56"/>
    <w:rsid w:val="08C43471"/>
    <w:rsid w:val="096A04BC"/>
    <w:rsid w:val="09ED2E9B"/>
    <w:rsid w:val="0A061956"/>
    <w:rsid w:val="0A3F3469"/>
    <w:rsid w:val="0A812E98"/>
    <w:rsid w:val="0BD51E39"/>
    <w:rsid w:val="0BFD3A89"/>
    <w:rsid w:val="0D303092"/>
    <w:rsid w:val="0DB60E48"/>
    <w:rsid w:val="0DBC2F5A"/>
    <w:rsid w:val="0DF34451"/>
    <w:rsid w:val="0EFB46A4"/>
    <w:rsid w:val="0F217D57"/>
    <w:rsid w:val="103E1D5B"/>
    <w:rsid w:val="10736D18"/>
    <w:rsid w:val="10A06571"/>
    <w:rsid w:val="10D0358F"/>
    <w:rsid w:val="10D95F27"/>
    <w:rsid w:val="111F2FB1"/>
    <w:rsid w:val="11CF2D47"/>
    <w:rsid w:val="12B44556"/>
    <w:rsid w:val="12F42BA4"/>
    <w:rsid w:val="132C6A5A"/>
    <w:rsid w:val="148F42E9"/>
    <w:rsid w:val="156009C5"/>
    <w:rsid w:val="157E70E0"/>
    <w:rsid w:val="15FF01DE"/>
    <w:rsid w:val="163B0AEA"/>
    <w:rsid w:val="16612C47"/>
    <w:rsid w:val="171547D3"/>
    <w:rsid w:val="17C52D61"/>
    <w:rsid w:val="180F749F"/>
    <w:rsid w:val="198E20A8"/>
    <w:rsid w:val="199B442F"/>
    <w:rsid w:val="1A1678A4"/>
    <w:rsid w:val="1A42538E"/>
    <w:rsid w:val="1A4F7BE7"/>
    <w:rsid w:val="1A642D06"/>
    <w:rsid w:val="1A6C7B89"/>
    <w:rsid w:val="1A7867B1"/>
    <w:rsid w:val="1B803BC7"/>
    <w:rsid w:val="1BDF1CFE"/>
    <w:rsid w:val="1BF754B3"/>
    <w:rsid w:val="1CDB6B83"/>
    <w:rsid w:val="1D2B2219"/>
    <w:rsid w:val="1D352737"/>
    <w:rsid w:val="1D467AFD"/>
    <w:rsid w:val="1D4C0EF1"/>
    <w:rsid w:val="1DCF493A"/>
    <w:rsid w:val="1E98690B"/>
    <w:rsid w:val="1EA071F6"/>
    <w:rsid w:val="1EAB0F03"/>
    <w:rsid w:val="1F361B1D"/>
    <w:rsid w:val="1F707A57"/>
    <w:rsid w:val="209D487B"/>
    <w:rsid w:val="21162880"/>
    <w:rsid w:val="211D3C0E"/>
    <w:rsid w:val="21BB1220"/>
    <w:rsid w:val="21DB501C"/>
    <w:rsid w:val="22582EC6"/>
    <w:rsid w:val="226A69DF"/>
    <w:rsid w:val="226C449C"/>
    <w:rsid w:val="22F50ADD"/>
    <w:rsid w:val="23BB00A6"/>
    <w:rsid w:val="23D74548"/>
    <w:rsid w:val="24183DE7"/>
    <w:rsid w:val="24392106"/>
    <w:rsid w:val="24392B0D"/>
    <w:rsid w:val="24613453"/>
    <w:rsid w:val="24B2466D"/>
    <w:rsid w:val="25270BB7"/>
    <w:rsid w:val="25323DC4"/>
    <w:rsid w:val="253432D4"/>
    <w:rsid w:val="25417B30"/>
    <w:rsid w:val="25C91C6F"/>
    <w:rsid w:val="262E5F76"/>
    <w:rsid w:val="27BC4EFE"/>
    <w:rsid w:val="27D0423C"/>
    <w:rsid w:val="28956780"/>
    <w:rsid w:val="28D10C1C"/>
    <w:rsid w:val="295613F8"/>
    <w:rsid w:val="29FA5E7B"/>
    <w:rsid w:val="2A451614"/>
    <w:rsid w:val="2B21500D"/>
    <w:rsid w:val="2C4958B7"/>
    <w:rsid w:val="2D3871D7"/>
    <w:rsid w:val="2D5C5ABE"/>
    <w:rsid w:val="2D8F1AFF"/>
    <w:rsid w:val="2D952880"/>
    <w:rsid w:val="2DAE255E"/>
    <w:rsid w:val="2DF64061"/>
    <w:rsid w:val="2E1B66E8"/>
    <w:rsid w:val="2EBF0A2B"/>
    <w:rsid w:val="2EC102CF"/>
    <w:rsid w:val="2ED10EC7"/>
    <w:rsid w:val="2FC71915"/>
    <w:rsid w:val="30C545AE"/>
    <w:rsid w:val="30FC55EE"/>
    <w:rsid w:val="3163566D"/>
    <w:rsid w:val="317E24A7"/>
    <w:rsid w:val="32031624"/>
    <w:rsid w:val="322C0915"/>
    <w:rsid w:val="32313075"/>
    <w:rsid w:val="33AB7289"/>
    <w:rsid w:val="3401698D"/>
    <w:rsid w:val="340D441A"/>
    <w:rsid w:val="341C014B"/>
    <w:rsid w:val="341E193F"/>
    <w:rsid w:val="343471C7"/>
    <w:rsid w:val="345C4FB7"/>
    <w:rsid w:val="34750972"/>
    <w:rsid w:val="35263179"/>
    <w:rsid w:val="35366BF5"/>
    <w:rsid w:val="364A7A79"/>
    <w:rsid w:val="366D1E2F"/>
    <w:rsid w:val="3679107B"/>
    <w:rsid w:val="36E44B5A"/>
    <w:rsid w:val="36FB6BF2"/>
    <w:rsid w:val="37330C3E"/>
    <w:rsid w:val="373553B6"/>
    <w:rsid w:val="3767221E"/>
    <w:rsid w:val="37B419BB"/>
    <w:rsid w:val="37BF7E23"/>
    <w:rsid w:val="37FC3E2E"/>
    <w:rsid w:val="388A1666"/>
    <w:rsid w:val="389A320A"/>
    <w:rsid w:val="38F31085"/>
    <w:rsid w:val="39133709"/>
    <w:rsid w:val="39641F82"/>
    <w:rsid w:val="396D6DE6"/>
    <w:rsid w:val="399A1E48"/>
    <w:rsid w:val="399C746C"/>
    <w:rsid w:val="39B656E8"/>
    <w:rsid w:val="39B8407C"/>
    <w:rsid w:val="39D24B04"/>
    <w:rsid w:val="3A6D5E2D"/>
    <w:rsid w:val="3AB938B6"/>
    <w:rsid w:val="3AE32FA0"/>
    <w:rsid w:val="3AF710D4"/>
    <w:rsid w:val="3B0A7E0E"/>
    <w:rsid w:val="3B5D137F"/>
    <w:rsid w:val="3BE15535"/>
    <w:rsid w:val="3BF375EE"/>
    <w:rsid w:val="3D485717"/>
    <w:rsid w:val="3D956479"/>
    <w:rsid w:val="3DC942B4"/>
    <w:rsid w:val="3DDF7E2A"/>
    <w:rsid w:val="3E5C5413"/>
    <w:rsid w:val="3EDF6ECC"/>
    <w:rsid w:val="3F165F94"/>
    <w:rsid w:val="404B79F8"/>
    <w:rsid w:val="41436921"/>
    <w:rsid w:val="419751D9"/>
    <w:rsid w:val="41A90E7A"/>
    <w:rsid w:val="41BA67E3"/>
    <w:rsid w:val="41DE4ACE"/>
    <w:rsid w:val="42615C1A"/>
    <w:rsid w:val="42DC49BD"/>
    <w:rsid w:val="42DF08CC"/>
    <w:rsid w:val="43755781"/>
    <w:rsid w:val="44617E44"/>
    <w:rsid w:val="44886119"/>
    <w:rsid w:val="450569B3"/>
    <w:rsid w:val="45464C32"/>
    <w:rsid w:val="45FA4A39"/>
    <w:rsid w:val="469E7F67"/>
    <w:rsid w:val="470D192B"/>
    <w:rsid w:val="471054F8"/>
    <w:rsid w:val="47117D03"/>
    <w:rsid w:val="47381007"/>
    <w:rsid w:val="47A90442"/>
    <w:rsid w:val="481649AB"/>
    <w:rsid w:val="48192719"/>
    <w:rsid w:val="48483F4D"/>
    <w:rsid w:val="48DA62A5"/>
    <w:rsid w:val="49885120"/>
    <w:rsid w:val="49973CAE"/>
    <w:rsid w:val="49BC41B6"/>
    <w:rsid w:val="49CA5FF7"/>
    <w:rsid w:val="4A02074A"/>
    <w:rsid w:val="4A993A56"/>
    <w:rsid w:val="4AEF5E66"/>
    <w:rsid w:val="4B5104B0"/>
    <w:rsid w:val="4B5A0DF2"/>
    <w:rsid w:val="4BBE3774"/>
    <w:rsid w:val="4BE118E6"/>
    <w:rsid w:val="4C6C1422"/>
    <w:rsid w:val="4CB8753F"/>
    <w:rsid w:val="4DED04DD"/>
    <w:rsid w:val="4E4145BD"/>
    <w:rsid w:val="4E4C6CC0"/>
    <w:rsid w:val="4EBB255A"/>
    <w:rsid w:val="4F5F534D"/>
    <w:rsid w:val="4F8922EB"/>
    <w:rsid w:val="50541818"/>
    <w:rsid w:val="507D1963"/>
    <w:rsid w:val="51C15D6C"/>
    <w:rsid w:val="532F2BCB"/>
    <w:rsid w:val="537B63EF"/>
    <w:rsid w:val="53C11F14"/>
    <w:rsid w:val="54166797"/>
    <w:rsid w:val="543744C9"/>
    <w:rsid w:val="548968E9"/>
    <w:rsid w:val="54F50843"/>
    <w:rsid w:val="55EB160A"/>
    <w:rsid w:val="56292868"/>
    <w:rsid w:val="56555BFC"/>
    <w:rsid w:val="56A6097F"/>
    <w:rsid w:val="56DE239B"/>
    <w:rsid w:val="56E8618F"/>
    <w:rsid w:val="578707D4"/>
    <w:rsid w:val="57FA3D86"/>
    <w:rsid w:val="582B5A99"/>
    <w:rsid w:val="582E1C82"/>
    <w:rsid w:val="58F22CAF"/>
    <w:rsid w:val="59162E41"/>
    <w:rsid w:val="59832C28"/>
    <w:rsid w:val="59D364BF"/>
    <w:rsid w:val="5A6F20DD"/>
    <w:rsid w:val="5A9009D2"/>
    <w:rsid w:val="5B133F38"/>
    <w:rsid w:val="5B465534"/>
    <w:rsid w:val="5C761E49"/>
    <w:rsid w:val="5C987A6F"/>
    <w:rsid w:val="5CD54529"/>
    <w:rsid w:val="5D4D5B77"/>
    <w:rsid w:val="5D5A7075"/>
    <w:rsid w:val="5DAD189A"/>
    <w:rsid w:val="5E7D4592"/>
    <w:rsid w:val="5ED0639A"/>
    <w:rsid w:val="5FF4555F"/>
    <w:rsid w:val="5FFF3065"/>
    <w:rsid w:val="60600615"/>
    <w:rsid w:val="607E76B3"/>
    <w:rsid w:val="60F15F42"/>
    <w:rsid w:val="613E02B4"/>
    <w:rsid w:val="616D29C7"/>
    <w:rsid w:val="61B9534F"/>
    <w:rsid w:val="61C827FF"/>
    <w:rsid w:val="62301CC1"/>
    <w:rsid w:val="623936FD"/>
    <w:rsid w:val="62933FD1"/>
    <w:rsid w:val="62AA0157"/>
    <w:rsid w:val="62D40731"/>
    <w:rsid w:val="630930CF"/>
    <w:rsid w:val="63204EFC"/>
    <w:rsid w:val="63794940"/>
    <w:rsid w:val="63E657E1"/>
    <w:rsid w:val="64385853"/>
    <w:rsid w:val="64B32BF1"/>
    <w:rsid w:val="651931DE"/>
    <w:rsid w:val="6620128E"/>
    <w:rsid w:val="667C1E0A"/>
    <w:rsid w:val="67C4369B"/>
    <w:rsid w:val="68000819"/>
    <w:rsid w:val="68024591"/>
    <w:rsid w:val="68112A26"/>
    <w:rsid w:val="68A9249F"/>
    <w:rsid w:val="68FB4503"/>
    <w:rsid w:val="691C78D4"/>
    <w:rsid w:val="696A6892"/>
    <w:rsid w:val="6AA14535"/>
    <w:rsid w:val="6AB853DB"/>
    <w:rsid w:val="6AC64690"/>
    <w:rsid w:val="6B284EF9"/>
    <w:rsid w:val="6B3D24B0"/>
    <w:rsid w:val="6C88141A"/>
    <w:rsid w:val="6DD662A4"/>
    <w:rsid w:val="6E1F57B8"/>
    <w:rsid w:val="6E59030C"/>
    <w:rsid w:val="6E9E52C2"/>
    <w:rsid w:val="6EA2656B"/>
    <w:rsid w:val="6EA77C40"/>
    <w:rsid w:val="6EB365E5"/>
    <w:rsid w:val="6F725091"/>
    <w:rsid w:val="70895EE5"/>
    <w:rsid w:val="70D56CE6"/>
    <w:rsid w:val="7100703C"/>
    <w:rsid w:val="71186BD3"/>
    <w:rsid w:val="717958C4"/>
    <w:rsid w:val="71A62431"/>
    <w:rsid w:val="72351E22"/>
    <w:rsid w:val="730748F8"/>
    <w:rsid w:val="734E2187"/>
    <w:rsid w:val="735F0CDF"/>
    <w:rsid w:val="737C4E7F"/>
    <w:rsid w:val="73814F04"/>
    <w:rsid w:val="73BE0515"/>
    <w:rsid w:val="746622AE"/>
    <w:rsid w:val="74B66E2F"/>
    <w:rsid w:val="751F2C26"/>
    <w:rsid w:val="754239EC"/>
    <w:rsid w:val="75D4110D"/>
    <w:rsid w:val="75EF3083"/>
    <w:rsid w:val="75FE1A20"/>
    <w:rsid w:val="765F0264"/>
    <w:rsid w:val="766F5E6B"/>
    <w:rsid w:val="76A50F09"/>
    <w:rsid w:val="770E6AAE"/>
    <w:rsid w:val="774E5B4B"/>
    <w:rsid w:val="777D3C34"/>
    <w:rsid w:val="77C90C27"/>
    <w:rsid w:val="77E02B9B"/>
    <w:rsid w:val="782B18E2"/>
    <w:rsid w:val="78455928"/>
    <w:rsid w:val="789B6A68"/>
    <w:rsid w:val="792031CC"/>
    <w:rsid w:val="795E5C05"/>
    <w:rsid w:val="7A200C72"/>
    <w:rsid w:val="7B76119B"/>
    <w:rsid w:val="7BD40577"/>
    <w:rsid w:val="7C3B3BCF"/>
    <w:rsid w:val="7E066731"/>
    <w:rsid w:val="7E0D6C2E"/>
    <w:rsid w:val="7E346223"/>
    <w:rsid w:val="7E6E430C"/>
    <w:rsid w:val="7EFB0260"/>
    <w:rsid w:val="7F055A88"/>
    <w:rsid w:val="7F2257ED"/>
    <w:rsid w:val="7F5434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Times New Roman" w:hAnsi="Times New Roman" w:eastAsia="宋体" w:cs="Times New Roman"/>
      <w:b/>
      <w:bCs/>
      <w:kern w:val="2"/>
      <w:sz w:val="44"/>
      <w:szCs w:val="44"/>
      <w:lang w:val="en-US" w:eastAsia="zh-CN" w:bidi="ar-SA"/>
    </w:rPr>
  </w:style>
  <w:style w:type="paragraph" w:styleId="2">
    <w:name w:val="heading 2"/>
    <w:next w:val="1"/>
    <w:qFormat/>
    <w:uiPriority w:val="0"/>
    <w:pPr>
      <w:keepNext/>
      <w:keepLines/>
      <w:widowControl w:val="0"/>
      <w:spacing w:before="260" w:after="260" w:line="413" w:lineRule="auto"/>
      <w:jc w:val="both"/>
      <w:outlineLvl w:val="1"/>
    </w:pPr>
    <w:rPr>
      <w:rFonts w:ascii="Arial" w:hAnsi="Arial" w:eastAsia="黑体" w:cs="Times New Roman"/>
      <w:kern w:val="2"/>
      <w:sz w:val="32"/>
      <w:szCs w:val="24"/>
      <w:lang w:val="en-US" w:eastAsia="zh-CN" w:bidi="ar-SA"/>
    </w:rPr>
  </w:style>
  <w:style w:type="paragraph" w:styleId="3">
    <w:name w:val="heading 3"/>
    <w:next w:val="1"/>
    <w:qFormat/>
    <w:uiPriority w:val="0"/>
    <w:pPr>
      <w:keepNext/>
      <w:keepLines/>
      <w:widowControl w:val="0"/>
      <w:spacing w:before="260" w:after="260" w:line="413" w:lineRule="auto"/>
      <w:jc w:val="both"/>
      <w:outlineLvl w:val="2"/>
    </w:pPr>
    <w:rPr>
      <w:rFonts w:ascii="Calibri" w:hAnsi="Calibri" w:eastAsia="楷体_GB2312" w:cs="Times New Roman"/>
      <w:b/>
      <w:kern w:val="2"/>
      <w:sz w:val="32"/>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4"/>
    <w:autoRedefine/>
    <w:unhideWhenUsed/>
    <w:qFormat/>
    <w:uiPriority w:val="99"/>
    <w:pPr>
      <w:tabs>
        <w:tab w:val="center" w:pos="4153"/>
        <w:tab w:val="right" w:pos="8306"/>
      </w:tabs>
      <w:snapToGrid w:val="0"/>
    </w:pPr>
    <w:rPr>
      <w:sz w:val="18"/>
      <w:szCs w:val="18"/>
    </w:rPr>
  </w:style>
  <w:style w:type="paragraph" w:styleId="5">
    <w:name w:val="header"/>
    <w:basedOn w:val="1"/>
    <w:link w:val="13"/>
    <w:autoRedefine/>
    <w:semiHidden/>
    <w:unhideWhenUsed/>
    <w:qFormat/>
    <w:uiPriority w:val="99"/>
    <w:pPr>
      <w:pBdr>
        <w:bottom w:val="single" w:color="auto" w:sz="6" w:space="1"/>
      </w:pBdr>
      <w:tabs>
        <w:tab w:val="center" w:pos="4153"/>
        <w:tab w:val="right" w:pos="8306"/>
      </w:tabs>
      <w:snapToGrid w:val="0"/>
    </w:pPr>
    <w:rPr>
      <w:sz w:val="18"/>
      <w:szCs w:val="18"/>
    </w:rPr>
  </w:style>
  <w:style w:type="paragraph" w:styleId="6">
    <w:name w:val="toc 1"/>
    <w:basedOn w:val="1"/>
    <w:next w:val="1"/>
    <w:qFormat/>
    <w:uiPriority w:val="0"/>
    <w:pPr>
      <w:spacing w:after="104" w:line="0" w:lineRule="atLeast"/>
    </w:pPr>
  </w:style>
  <w:style w:type="paragraph" w:styleId="7">
    <w:name w:val="Normal (Web)"/>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2"/>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semiHidden/>
    <w:unhideWhenUsed/>
    <w:qFormat/>
    <w:uiPriority w:val="99"/>
    <w:rPr>
      <w:color w:val="0000FF"/>
      <w:u w:val="single"/>
    </w:rPr>
  </w:style>
  <w:style w:type="paragraph" w:customStyle="1" w:styleId="12">
    <w:name w:val="Default"/>
    <w:autoRedefine/>
    <w:qFormat/>
    <w:uiPriority w:val="0"/>
    <w:pPr>
      <w:widowControl w:val="0"/>
      <w:autoSpaceDE w:val="0"/>
      <w:autoSpaceDN w:val="0"/>
      <w:adjustRightInd w:val="0"/>
    </w:pPr>
    <w:rPr>
      <w:rFonts w:ascii="Arial Unicode MS" w:hAnsi="Times New Roman" w:eastAsia="Arial Unicode MS" w:cs="Arial Unicode MS"/>
      <w:color w:val="000000"/>
      <w:sz w:val="24"/>
      <w:szCs w:val="24"/>
      <w:lang w:val="en-US" w:eastAsia="zh-CN" w:bidi="ar-SA"/>
    </w:rPr>
  </w:style>
  <w:style w:type="character" w:customStyle="1" w:styleId="13">
    <w:name w:val="页眉 字符"/>
    <w:basedOn w:val="10"/>
    <w:link w:val="5"/>
    <w:autoRedefine/>
    <w:semiHidden/>
    <w:qFormat/>
    <w:uiPriority w:val="99"/>
    <w:rPr>
      <w:rFonts w:ascii="Times New Roman" w:hAnsi="Times New Roman" w:eastAsia="宋体" w:cs="Times New Roman"/>
      <w:sz w:val="18"/>
      <w:szCs w:val="18"/>
    </w:rPr>
  </w:style>
  <w:style w:type="character" w:customStyle="1" w:styleId="14">
    <w:name w:val="页脚 字符"/>
    <w:basedOn w:val="10"/>
    <w:link w:val="4"/>
    <w:autoRedefine/>
    <w:qFormat/>
    <w:uiPriority w:val="99"/>
    <w:rPr>
      <w:rFonts w:ascii="Times New Roman" w:hAnsi="Times New Roman" w:eastAsia="宋体" w:cs="Times New Roman"/>
      <w:sz w:val="18"/>
      <w:szCs w:val="18"/>
    </w:rPr>
  </w:style>
  <w:style w:type="paragraph" w:styleId="15">
    <w:name w:val="List Paragraph"/>
    <w:basedOn w:val="1"/>
    <w:unhideWhenUsed/>
    <w:qFormat/>
    <w:uiPriority w:val="99"/>
    <w:pPr>
      <w:ind w:firstLine="420" w:firstLineChars="200"/>
    </w:pPr>
  </w:style>
  <w:style w:type="paragraph" w:customStyle="1" w:styleId="16">
    <w:name w:val="Table Text"/>
    <w:basedOn w:val="1"/>
    <w:semiHidden/>
    <w:qFormat/>
    <w:uiPriority w:val="0"/>
    <w:rPr>
      <w:rFonts w:ascii="仿宋" w:hAnsi="仿宋" w:eastAsia="仿宋" w:cs="仿宋"/>
      <w:sz w:val="31"/>
      <w:szCs w:val="31"/>
      <w:lang w:val="en-US" w:eastAsia="en-US" w:bidi="ar-SA"/>
    </w:rPr>
  </w:style>
  <w:style w:type="paragraph" w:customStyle="1" w:styleId="17">
    <w:name w:val="正文-公1"/>
    <w:qFormat/>
    <w:uiPriority w:val="0"/>
    <w:pPr>
      <w:widowControl w:val="0"/>
      <w:ind w:firstLine="200" w:firstLineChars="200"/>
      <w:jc w:val="left"/>
    </w:pPr>
    <w:rPr>
      <w:rFonts w:ascii="Times New Roman" w:hAnsi="Times New Roman" w:eastAsia="仿宋_GB2312"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15349</Words>
  <Characters>15730</Characters>
  <Lines>75</Lines>
  <Paragraphs>21</Paragraphs>
  <TotalTime>0</TotalTime>
  <ScaleCrop>false</ScaleCrop>
  <LinksUpToDate>false</LinksUpToDate>
  <CharactersWithSpaces>15919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2020-03-09T00:33:00Z</dcterms:created>
  <dc:creator>唐静</dc:creator>
  <cp:lastModifiedBy>茁ㄨ</cp:lastModifiedBy>
  <cp:lastPrinted>2024-09-14T01:59:00Z</cp:lastPrinted>
  <dcterms:modified xsi:type="dcterms:W3CDTF">2025-01-22T09:15:07Z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2E694ABDAA7A45408176766CDB69ADC8_13</vt:lpwstr>
  </property>
  <property fmtid="{D5CDD505-2E9C-101B-9397-08002B2CF9AE}" pid="4" name="KSOTemplateDocerSaveRecord">
    <vt:lpwstr>eyJoZGlkIjoiMzU4OGIyNjczMjk3M2YzYjkxMjQ4YTJlYzJkMmFjZTciLCJ1c2VySWQiOiIzNTY5ODcwNzEifQ==</vt:lpwstr>
  </property>
</Properties>
</file>